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28"/>
        </w:rPr>
        <w:t>SỞ Y TẾ HÀ NỘI</w:t>
      </w:r>
    </w:p>
    <w:p>
      <w:pPr>
        <w:spacing w:before="160"/>
        <w:jc w:val="center"/>
      </w:pPr>
      <w:r>
        <w:rPr>
          <w:rFonts w:ascii="Times New Roman" w:hAnsi="Times New Roman" w:eastAsia="Times New Roman"/>
          <w:b/>
          <w:sz w:val="32"/>
        </w:rPr>
        <w:t>NỘI DUNG PHÁT BIỂU DỰ KIẾN</w:t>
      </w:r>
    </w:p>
    <w:p>
      <w:pPr>
        <w:jc w:val="center"/>
      </w:pPr>
      <w:r>
        <w:rPr>
          <w:rFonts w:ascii="Times New Roman" w:hAnsi="Times New Roman" w:eastAsia="Times New Roman"/>
          <w:b/>
          <w:sz w:val="30"/>
        </w:rPr>
        <w:t>CÁC VẤN ĐỀ KHOA HỌC VÀ CÔNG NGHỆ CẦN THỰC HIỆN</w:t>
        <w:br/>
        <w:t>ĐỂ GIẢI QUYẾT CÁC BÀI TOÁN LỚN CỦA THÀNH PHỐ</w:t>
        <w:br/>
        <w:t>VÀ CÁC VẤN ĐỀ CẤP THIẾT TRONG LĨNH VỰC Y TẾ</w:t>
      </w:r>
    </w:p>
    <w:p>
      <w:pPr>
        <w:jc w:val="center"/>
      </w:pPr>
      <w:r>
        <w:rPr>
          <w:rFonts w:ascii="Times New Roman" w:hAnsi="Times New Roman" w:eastAsia="Times New Roman"/>
          <w:i/>
          <w:sz w:val="25"/>
        </w:rPr>
        <w:t>Đại diện Lãnh đạo Sở Y tế Hà Nội – Hội thảo định hướng đề xuất đặt hàng các nhiệm vụ KHCN&amp;ĐMST Thành phố</w:t>
      </w:r>
    </w:p>
    <w:p>
      <w:pPr>
        <w:jc w:val="center"/>
      </w:pPr>
      <w:r>
        <w:rPr>
          <w:i/>
          <w:sz w:val="24"/>
        </w:rPr>
        <w:t>Thời lượng dự kiến: 8–10 phút</w:t>
      </w:r>
    </w:p>
    <w:p/>
    <w:p>
      <w:pPr>
        <w:pStyle w:val="Heading1"/>
      </w:pPr>
      <w:r>
        <w:t>I. BÀI PHÁT BIỂU DỰ KIẾN</w:t>
      </w:r>
    </w:p>
    <w:p>
      <w:pPr>
        <w:spacing w:line="276" w:lineRule="auto" w:after="120"/>
        <w:jc w:val="both"/>
      </w:pPr>
      <w:r>
        <w:rPr>
          <w:rFonts w:ascii="Times New Roman" w:hAnsi="Times New Roman" w:eastAsia="Times New Roman"/>
          <w:sz w:val="28"/>
        </w:rPr>
        <w:t>Kính thưa các đồng chí Lãnh đạo Sở Khoa học và Công nghệ, các chuyên gia, nhà khoa học, đại diện các viện, trường, bệnh viện, doanh nghiệp và các quý vị đại biểu!</w:t>
      </w:r>
    </w:p>
    <w:p>
      <w:pPr>
        <w:spacing w:line="276" w:lineRule="auto" w:after="120"/>
        <w:jc w:val="both"/>
      </w:pPr>
      <w:r>
        <w:rPr>
          <w:rFonts w:ascii="Times New Roman" w:hAnsi="Times New Roman" w:eastAsia="Times New Roman"/>
          <w:sz w:val="28"/>
        </w:rPr>
        <w:t>Thay mặt Sở Y tế Hà Nội, tôi xin trao đổi một số vấn đề khoa học, công nghệ và đổi mới sáng tạo mà ngành Y tế Thủ đô đang cần tập trung giải quyết trong giai đoạn tới. Chúng tôi xin không đi sâu vào từng đề tài riêng lẻ của từng đơn vị, mà mong muốn trình bày bức tranh chung về các bài toán của toàn ngành, để từ đó cùng Sở Khoa học và Công nghệ, các cơ sở nghiên cứu và doanh nghiệp xác định những chương trình, nhiệm vụ có quy mô, có khả năng ứng dụng và nhân rộng.</w:t>
      </w:r>
    </w:p>
    <w:p>
      <w:pPr>
        <w:spacing w:line="276" w:lineRule="auto" w:after="120"/>
        <w:jc w:val="both"/>
      </w:pPr>
      <w:r>
        <w:rPr>
          <w:rFonts w:ascii="Times New Roman" w:hAnsi="Times New Roman" w:eastAsia="Times New Roman"/>
          <w:b/>
          <w:sz w:val="28"/>
        </w:rPr>
        <w:t>Thứ nhất, về cách tiếp cận.</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Quyết định số 1193/QĐ-UBND ngày 18/3/2026 của UBND Thành phố đã công bố 30 bài toán lớn giai đoạn 2026–2030. Điểm rất quan trọng là các bài toán lớn không phải là danh mục nhiệm vụ hành chính cụ thể, mà là những vấn đề có tính liên ngành, quy mô lớn, tác động rộng, cần lời giải trên nền tảng khoa học, công nghệ, đổi mới sáng tạo và chuyển đổi số. Đối với ngành Y tế, điều này gợi mở một thay đổi về tư duy: từ việc đề xuất nhiều đề tài riêng lẻ sang xác định các vấn đề lớn cần giải quyết và tổ chức nguồn lực liên ngành để tạo ra sản phẩm có thể sử dụng trong thực tiễn.</w:t>
      </w:r>
    </w:p>
    <w:p>
      <w:pPr>
        <w:spacing w:line="276" w:lineRule="auto" w:after="120"/>
        <w:jc w:val="both"/>
      </w:pPr>
      <w:r>
        <w:rPr>
          <w:rFonts w:ascii="Times New Roman" w:hAnsi="Times New Roman" w:eastAsia="Times New Roman"/>
          <w:sz w:val="28"/>
        </w:rPr>
        <w:t>Đồng thời, Thành phố đã xác định 7 lĩnh vực ưu tiên hỗ trợ đổi mới sáng tạo giai đoạn 2026–2030. Trong đó, y tế thông minh và công nghệ y sinh ứng dụng là một lĩnh vực ưu tiên riêng; đồng thời ngành Y tế còn liên quan trực tiếp đến công nghệ số và trí tuệ nhân tạo, công nghệ chế tạo – tự động hóa – thiết bị, và công nghệ sinh học. Danh mục công nghệ chiến lược của Hà Nội giai đoạn 2026–2035 cũng bao gồm AI, dữ liệu lớn, điện toán biên, IoT, công nghệ sinh học và y sinh tiên tiến, cảm biến thông minh, công nghệ không gian tầm thấp và UAV. Như vậy, y tế là một trong những lĩnh vực có khả năng hội tụ nhiều công nghệ chiến lược của Thành phố.</w:t>
      </w:r>
    </w:p>
    <w:p>
      <w:pPr>
        <w:spacing w:line="276" w:lineRule="auto" w:after="120"/>
        <w:jc w:val="both"/>
      </w:pPr>
      <w:r>
        <w:rPr>
          <w:rFonts w:ascii="Times New Roman" w:hAnsi="Times New Roman" w:eastAsia="Times New Roman"/>
          <w:b/>
          <w:sz w:val="28"/>
        </w:rPr>
        <w:t>Thứ hai, về nhu cầu thực tiễn của ngành Y tế Hà Nội.</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Hà Nội có mạng lưới y tế rất lớn và đa dạng, từ bệnh viện chuyên sâu, bệnh viện đa khoa, cơ sở y tế ngoài công lập đến 126 trạm y tế xã, phường. Đề án thành lập Trung tâm Đào tạo và Chuyển giao công nghệ Y tế Hà Nội đã chỉ ra một số điểm nghẽn: hoạt động nghiên cứu, đào tạo và chuyển giao còn phân tán; nhiều kết quả nghiên cứu chưa được chuyển hóa thành quy trình, sản phẩm, phần mềm, mô hình dịch vụ hay công nghệ có thể nhân rộng; việc chuyển giao kỹ thuật chưa có lộ trình chung và cơ chế theo dõi sau chuyển giao; năng lực tiếp nhận công nghệ giữa các tuyến chưa đồng đều.</w:t>
      </w:r>
    </w:p>
    <w:p>
      <w:pPr>
        <w:spacing w:line="276" w:lineRule="auto" w:after="120"/>
        <w:jc w:val="both"/>
      </w:pPr>
      <w:r>
        <w:rPr>
          <w:rFonts w:ascii="Times New Roman" w:hAnsi="Times New Roman" w:eastAsia="Times New Roman"/>
          <w:sz w:val="28"/>
        </w:rPr>
        <w:t>Riêng năm 2025, toàn ngành có hơn 939 đề tài nghiên cứu khoa học được nghiệm thu. Đây là một nguồn lực khoa học rất lớn. Vấn đề của chúng ta trong giai đoạn tới không chỉ là có thêm nhiều đề tài, mà là làm thế nào chuyển mạnh từ “nghiên cứu để nghiệm thu” sang “nghiên cứu để ứng dụng, chuyển giao, tạo sản phẩm, cải tiến chất lượng và nâng cao năng lực quản trị”. Đây cũng là một trong những định hướng quan trọng đã được đặt ra khi xây dựng Trung tâm Đào tạo và Chuyển giao công nghệ Y tế Hà Nội.</w:t>
      </w:r>
    </w:p>
    <w:p>
      <w:pPr>
        <w:spacing w:line="276" w:lineRule="auto" w:after="120"/>
        <w:jc w:val="both"/>
      </w:pPr>
      <w:r>
        <w:rPr>
          <w:rFonts w:ascii="Times New Roman" w:hAnsi="Times New Roman" w:eastAsia="Times New Roman"/>
          <w:sz w:val="28"/>
        </w:rPr>
        <w:t>Qua tổng hợp bước đầu các đề xuất gửi về đầu mối, hiện có 24 đề xuất của các đơn vị ngoài Trung tâm. Nếu phân theo lĩnh vực chính, có 11 nhiệm vụ thuộc nhóm y tế thông minh và y sinh ứng dụng, 7 nhiệm vụ thuộc công nghệ sinh học, 3 nhiệm vụ thuộc AI – công nghệ số và 3 nhiệm vụ thuộc chế tạo, tự động hóa, thiết bị. Điều này cho thấy nhu cầu KHCN&amp;ĐMST của ngành đang hình thành ba trục rất rõ: y tế thông minh và công nghệ y sinh; công nghệ sinh học – y sinh tiên tiến; AI, dữ liệu và công nghệ số.</w:t>
      </w:r>
    </w:p>
    <w:p>
      <w:pPr>
        <w:spacing w:line="276" w:lineRule="auto" w:after="120"/>
        <w:jc w:val="both"/>
      </w:pPr>
      <w:r>
        <w:rPr>
          <w:rFonts w:ascii="Times New Roman" w:hAnsi="Times New Roman" w:eastAsia="Times New Roman"/>
          <w:sz w:val="28"/>
        </w:rPr>
        <w:t>Từ các chủ trương của Thành phố, yêu cầu phát triển của ngành và các đề xuất của đơn vị, Sở Y tế bước đầu nhận diện 6 nhóm vấn đề khoa học và công nghệ cần được ưu tiên.</w:t>
      </w:r>
    </w:p>
    <w:p>
      <w:pPr>
        <w:spacing w:line="276" w:lineRule="auto" w:after="120"/>
        <w:jc w:val="both"/>
      </w:pPr>
      <w:r>
        <w:rPr>
          <w:rFonts w:ascii="Times New Roman" w:hAnsi="Times New Roman" w:eastAsia="Times New Roman"/>
          <w:b/>
          <w:sz w:val="28"/>
        </w:rPr>
        <w:t>Một là, xây dựng hạ tầng dữ liệu y tế và năng lực AI dùng chung cho toàn ngành.</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Các bệnh viện hiện đã có HIS, LIS, PACS, bệnh án điện tử và nhiều phần mềm chuyên môn, nhưng dữ liệu còn phân tán, chuẩn dữ liệu chưa thống nhất, khả năng tái sử dụng cho quản lý, nghiên cứu và AI còn hạn chế. Ngành cần nghiên cứu và xây dựng kiến trúc dữ liệu y tế dùng chung; tiêu chuẩn liên thông; kho dữ liệu nghiên cứu; môi trường thử nghiệm, đánh giá thuật toán; cơ chế bảo vệ dữ liệu, an toàn thông tin và giám sát AI. Mục tiêu không phải là xây thêm nhiều phần mềm rời rạc, mà là tạo nền tảng để dữ liệu có thể phục vụ đồng thời quản lý, chuyên môn, nghiên cứu và đổi mới sáng tạo.</w:t>
      </w:r>
    </w:p>
    <w:p>
      <w:pPr>
        <w:spacing w:line="276" w:lineRule="auto" w:after="120"/>
        <w:jc w:val="both"/>
      </w:pPr>
      <w:r>
        <w:rPr>
          <w:rFonts w:ascii="Times New Roman" w:hAnsi="Times New Roman" w:eastAsia="Times New Roman"/>
          <w:b/>
          <w:sz w:val="28"/>
        </w:rPr>
        <w:t>Hai là, khoa học và công nghệ phục vụ quản lý sức khỏe người dân, y tế dự phòng và y tế cơ sở.</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Thành phố đang đặt ra các nhiệm vụ về cơ sở dữ liệu nguồn lực y tế, chăm sóc sức khỏe theo vòng đời, hệ sinh thái “Hà Nội khỏe”, y tế cơ sở, người cao tuổi, các nhóm yếu thế, khám sức khỏe và quản lý bệnh không lây nhiễm. KHCN cần hỗ trợ chuyển từ mô hình chăm sóc khi đã có bệnh sang quản lý sức khỏe chủ động: sàng lọc, phân tầng nguy cơ, phát hiện sớm, theo dõi liên tục, quản lý bệnh mạn tại cộng đồng và kết nối bệnh viện – trạm y tế – người dân. Đồng thời, an toàn thực phẩm là một bài toán lớn trực tiếp liên quan đến sức khỏe cộng đồng, cần các giải pháp truy xuất nguồn gốc, giám sát thông minh, phân tích nguy cơ và cảnh báo sớm.</w:t>
      </w:r>
    </w:p>
    <w:p>
      <w:pPr>
        <w:spacing w:line="276" w:lineRule="auto" w:after="120"/>
        <w:jc w:val="both"/>
      </w:pPr>
      <w:r>
        <w:rPr>
          <w:rFonts w:ascii="Times New Roman" w:hAnsi="Times New Roman" w:eastAsia="Times New Roman"/>
          <w:b/>
          <w:sz w:val="28"/>
        </w:rPr>
        <w:t>Ba là, bệnh viện thông minh, an toàn người bệnh và quản trị dựa trên dữ liệu.</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Ngành cần các giải pháp AI hỗ trợ chẩn đoán và quyết định lâm sàng; cảnh giác dược chủ động; giám sát kháng kháng sinh và quản lý sử dụng kháng sinh; kiểm soát nhiễm khuẩn; theo dõi dấu hiệu sinh tồn thông minh; điều phối cấp cứu; quản lý chất lượng; tối ưu công suất, nhân lực và trang thiết bị. Kế hoạch của Thành phố đã đặt ra các hệ thống điều phối thông minh và telemedicine trong cấp cứu ngoại viện, hệ thống điều hành và kết nối chuyên môn đa tầng. Những nội dung này cần được triển khai như các bài toán hệ thống, không chỉ là một ứng dụng đơn lẻ.</w:t>
      </w:r>
    </w:p>
    <w:p>
      <w:pPr>
        <w:spacing w:line="276" w:lineRule="auto" w:after="120"/>
        <w:jc w:val="both"/>
      </w:pPr>
      <w:r>
        <w:rPr>
          <w:rFonts w:ascii="Times New Roman" w:hAnsi="Times New Roman" w:eastAsia="Times New Roman"/>
          <w:b/>
          <w:sz w:val="28"/>
        </w:rPr>
        <w:t>Bốn là, y học chính xác, công nghệ sinh học và y sinh tiên tiến.</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Các đề xuất hiện nay đã xuất hiện nhiều hướng có tiềm năng: genomics và NGS trong ung thư; dược học di truyền; biomarker; mô hình dự báo nguy cơ; tế bào gốc và exosome; giải phẫu bệnh số; chẩn đoán hình ảnh định lượng; can thiệp thai nhi và các kỹ thuật điều trị tiên tiến. Với nhóm này, Sở Y tế mong muốn hình thành các nghiên cứu đa trung tâm, cơ sở dữ liệu chuẩn, quy trình đánh giá lâm sàng và cơ chế chuyển giao, để kết quả không chỉ dừng ở một bệnh viện mà có thể phát triển thành quy trình, dịch vụ hoặc sản phẩm.</w:t>
      </w:r>
    </w:p>
    <w:p>
      <w:pPr>
        <w:spacing w:line="276" w:lineRule="auto" w:after="120"/>
        <w:jc w:val="both"/>
      </w:pPr>
      <w:r>
        <w:rPr>
          <w:rFonts w:ascii="Times New Roman" w:hAnsi="Times New Roman" w:eastAsia="Times New Roman"/>
          <w:b/>
          <w:sz w:val="28"/>
        </w:rPr>
        <w:t>Năm là, phát triển MedTech, thiết bị y tế thông minh và các mô hình logistics y tế mới.</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Các đề xuất về radar theo dõi không tiếp xúc, cảm biến, thiết bị hỗ trợ chẩn đoán, HIFU, UAV vận chuyển AED và bệnh phẩm cho thấy nhu cầu đổi mới sáng tạo đang chuyển từ phần mềm sang các hệ thống tích hợp phần cứng – phần mềm – dữ liệu. Đây là lĩnh vực cần cơ chế thí điểm, kiểm định, sandbox, đánh giá an toàn và hiệu quả thực tế; đồng thời cần kết nối bệnh viện với doanh nghiệp công nghệ ngay từ giai đoạn thiết kế, thử nghiệm và hoàn thiện sản phẩm.</w:t>
      </w:r>
    </w:p>
    <w:p>
      <w:pPr>
        <w:spacing w:line="276" w:lineRule="auto" w:after="120"/>
        <w:jc w:val="both"/>
      </w:pPr>
      <w:r>
        <w:rPr>
          <w:rFonts w:ascii="Times New Roman" w:hAnsi="Times New Roman" w:eastAsia="Times New Roman"/>
          <w:b/>
          <w:sz w:val="28"/>
        </w:rPr>
        <w:t>Sáu là, đổi mới cơ chế tổ chức nghiên cứu, chuyển giao và thương mại hóa kết quả KHCN.</w:t>
      </w:r>
      <w:r>
        <w:rPr>
          <w:rFonts w:ascii="Times New Roman" w:hAnsi="Times New Roman" w:eastAsia="Times New Roman"/>
          <w:sz w:val="28"/>
        </w:rPr>
      </w:r>
    </w:p>
    <w:p>
      <w:pPr>
        <w:spacing w:line="276" w:lineRule="auto" w:after="120"/>
        <w:jc w:val="both"/>
      </w:pPr>
      <w:r>
        <w:rPr>
          <w:rFonts w:ascii="Times New Roman" w:hAnsi="Times New Roman" w:eastAsia="Times New Roman"/>
          <w:sz w:val="28"/>
        </w:rPr>
        <w:t>Đề án thành lập Trung tâm đã xác định rõ yêu cầu kết hợp nghiên cứu khoa học với chuyển giao và thương mại hóa sản phẩm sau nghiên cứu, thử nghiệm lâm sàng, nhân rộng triển khai. Vì vậy, mỗi nhiệm vụ KHCN trong lĩnh vực y tế cần trả lời rõ ít nhất bốn câu hỏi: sản phẩm cuối cùng là gì; ai sẽ sử dụng; hiệu quả chuyên môn và kinh tế đem lại như thế nào; và cơ chế chuyển giao, nhân rộng ra sao. Cần khuyến khích doanh nghiệp tham gia từ đầu để cùng phát triển sản phẩm, sở hữu trí tuệ, sản xuất, tích hợp và thương mại hóa.</w:t>
      </w:r>
    </w:p>
    <w:p>
      <w:pPr>
        <w:spacing w:line="276" w:lineRule="auto" w:after="120"/>
        <w:jc w:val="both"/>
      </w:pPr>
      <w:r>
        <w:rPr>
          <w:rFonts w:ascii="Times New Roman" w:hAnsi="Times New Roman" w:eastAsia="Times New Roman"/>
          <w:b/>
          <w:sz w:val="28"/>
        </w:rPr>
        <w:t>Từ sáu nhóm nhu cầu trên, ngành Y tế xin đề xuất với Sở Khoa học và Công nghệ một số định hướng phối hợp.</w:t>
      </w:r>
      <w:r>
        <w:rPr>
          <w:rFonts w:ascii="Times New Roman" w:hAnsi="Times New Roman" w:eastAsia="Times New Roman"/>
          <w:sz w:val="28"/>
        </w:rPr>
      </w:r>
    </w:p>
    <w:p>
      <w:pPr>
        <w:spacing w:line="264" w:lineRule="auto" w:after="60"/>
        <w:ind w:left="340" w:hanging="198"/>
        <w:jc w:val="both"/>
      </w:pPr>
      <w:r>
        <w:rPr>
          <w:rFonts w:ascii="Times New Roman" w:hAnsi="Times New Roman" w:eastAsia="Times New Roman"/>
          <w:sz w:val="27"/>
        </w:rPr>
        <w:t>• Thứ nhất, hỗ trợ tổ chức các đề xuất theo chương trình hoặc “bài toán ngành”, ưu tiên các nhiệm vụ đa trung tâm, có dữ liệu dùng chung và khả năng nhân rộng, thay vì chỉ xem xét từng đề tài độc lập.</w:t>
      </w:r>
    </w:p>
    <w:p>
      <w:pPr>
        <w:spacing w:line="264" w:lineRule="auto" w:after="60"/>
        <w:ind w:left="340" w:hanging="198"/>
        <w:jc w:val="both"/>
      </w:pPr>
      <w:r>
        <w:rPr>
          <w:rFonts w:ascii="Times New Roman" w:hAnsi="Times New Roman" w:eastAsia="Times New Roman"/>
          <w:sz w:val="27"/>
        </w:rPr>
        <w:t>• Thứ hai, hình thành cơ chế thí điểm/sandbox cho AI y tế, thiết bị thông minh, UAV và các công nghệ mới; có quy trình đánh giá an toàn, hiệu quả, bảo mật và giá trị kinh tế trước khi nhân rộng.</w:t>
      </w:r>
    </w:p>
    <w:p>
      <w:pPr>
        <w:spacing w:line="264" w:lineRule="auto" w:after="60"/>
        <w:ind w:left="340" w:hanging="198"/>
        <w:jc w:val="both"/>
      </w:pPr>
      <w:r>
        <w:rPr>
          <w:rFonts w:ascii="Times New Roman" w:hAnsi="Times New Roman" w:eastAsia="Times New Roman"/>
          <w:sz w:val="27"/>
        </w:rPr>
        <w:t>• Thứ ba, đầu tư và hỗ trợ các hạ tầng KHCN dùng chung cho ngành như dữ liệu, môi trường kiểm thử AI, nền tảng nghiên cứu đa trung tâm, tiêu chuẩn liên thông và công cụ đánh giá công nghệ y tế.</w:t>
      </w:r>
    </w:p>
    <w:p>
      <w:pPr>
        <w:spacing w:line="264" w:lineRule="auto" w:after="60"/>
        <w:ind w:left="340" w:hanging="198"/>
        <w:jc w:val="both"/>
      </w:pPr>
      <w:r>
        <w:rPr>
          <w:rFonts w:ascii="Times New Roman" w:hAnsi="Times New Roman" w:eastAsia="Times New Roman"/>
          <w:sz w:val="27"/>
        </w:rPr>
        <w:t>• Thứ tư, tạo cơ chế để bệnh viện – trường đại học – viện nghiên cứu – doanh nghiệp cùng đồng phát triển sản phẩm; hỗ trợ sở hữu trí tuệ, chuyển giao công nghệ và thương mại hóa các kết quả có tiềm năng.</w:t>
      </w:r>
    </w:p>
    <w:p>
      <w:pPr>
        <w:spacing w:line="264" w:lineRule="auto" w:after="60"/>
        <w:ind w:left="340" w:hanging="198"/>
        <w:jc w:val="both"/>
      </w:pPr>
      <w:r>
        <w:rPr>
          <w:rFonts w:ascii="Times New Roman" w:hAnsi="Times New Roman" w:eastAsia="Times New Roman"/>
          <w:sz w:val="27"/>
        </w:rPr>
        <w:t>• Thứ năm, khi xây dựng nhiệm vụ đặt hàng, đề nghị coi địa chỉ sử dụng, cam kết tiếp nhận, khả năng chuyển giao và hiệu quả kinh tế – xã hội là những đầu ra quan trọng, bên cạnh công bố khoa học.</w:t>
      </w:r>
    </w:p>
    <w:p>
      <w:pPr>
        <w:spacing w:line="276" w:lineRule="auto" w:after="120"/>
        <w:jc w:val="both"/>
      </w:pPr>
      <w:r>
        <w:rPr>
          <w:rFonts w:ascii="Times New Roman" w:hAnsi="Times New Roman" w:eastAsia="Times New Roman"/>
          <w:sz w:val="28"/>
        </w:rPr>
        <w:t>Về phía Sở Y tế, Trung tâm Đào tạo và Chuyển giao công nghệ Y tế Hà Nội sẽ được phát huy đúng vai trò đầu mối hỗ trợ hệ thống theo chức năng đã được giao: tổng hợp nhu cầu, kết nối chuyên gia và đơn vị, hỗ trợ chuẩn hóa, đào tạo, chuyển giao, đánh giá khả năng ứng dụng và nhân rộng. Trung tâm không thay thế các bệnh viện, viện, trường hay doanh nghiệp trong nghiên cứu chuyên môn; mà hỗ trợ biến những kết quả tốt của từng đơn vị thành năng lực chung của ngành.</w:t>
      </w:r>
    </w:p>
    <w:p>
      <w:pPr>
        <w:spacing w:line="276" w:lineRule="auto" w:after="120"/>
        <w:jc w:val="both"/>
      </w:pPr>
      <w:r>
        <w:rPr>
          <w:rFonts w:ascii="Times New Roman" w:hAnsi="Times New Roman" w:eastAsia="Times New Roman"/>
          <w:sz w:val="28"/>
        </w:rPr>
        <w:t>Thông điệp chúng tôi muốn nhấn mạnh là: ngành Y tế Hà Nội không thiếu ý tưởng nghiên cứu và cũng không thiếu những đơn vị có năng lực. Điều cần thiết trong giai đoạn tới là một cơ chế để chọn đúng bài toán, dùng chung dữ liệu và hạ tầng, thử nghiệm đúng, đánh giá được hiệu quả, chuyển giao được và nhân rộng được. Nếu làm được như vậy, khoa học công nghệ và đổi mới sáng tạo sẽ thực sự trở thành động lực nâng cao chất lượng y tế Thủ đô, đồng thời tạo ra các sản phẩm, dịch vụ và mô hình có thể đóng góp cho cả nước.</w:t>
      </w:r>
    </w:p>
    <w:p>
      <w:pPr>
        <w:spacing w:line="276" w:lineRule="auto" w:after="120"/>
        <w:jc w:val="both"/>
      </w:pPr>
      <w:r>
        <w:rPr>
          <w:rFonts w:ascii="Times New Roman" w:hAnsi="Times New Roman" w:eastAsia="Times New Roman"/>
          <w:sz w:val="28"/>
        </w:rPr>
        <w:t>Xin trân trọng cảm ơn!</w:t>
      </w:r>
    </w:p>
    <w:p>
      <w:r>
        <w:br w:type="page"/>
      </w:r>
    </w:p>
    <w:p>
      <w:pPr>
        <w:pStyle w:val="Heading1"/>
      </w:pPr>
      <w:r>
        <w:t>II. BẢNG TÓM TẮT 6 NHÓM NHU CẦU KHCN&amp;ĐMST CỦA NGÀNH Y TẾ</w:t>
      </w:r>
    </w:p>
    <w:tbl>
      <w:tblPr>
        <w:tblStyle w:val="TableGrid"/>
        <w:tblW w:type="auto" w:w="0"/>
        <w:jc w:val="center"/>
        <w:tblLook w:firstColumn="1" w:firstRow="1" w:lastColumn="0" w:lastRow="0" w:noHBand="0" w:noVBand="1" w:val="04A0"/>
      </w:tblPr>
      <w:tblGrid>
        <w:gridCol w:w="2422"/>
        <w:gridCol w:w="2422"/>
        <w:gridCol w:w="2422"/>
        <w:gridCol w:w="2422"/>
      </w:tblGrid>
      <w:tr>
        <w:trPr>
          <w:tblHeader w:val="true"/>
        </w:trPr>
        <w:tc>
          <w:tcPr>
            <w:tcW w:type="dxa" w:w="2381"/>
            <w:vAlign w:val="center"/>
            <w:shd w:fill="D9EAF7"/>
            <w:tcMar>
              <w:top w:w="60" w:type="dxa"/>
              <w:start w:w="60" w:type="dxa"/>
              <w:bottom w:w="60" w:type="dxa"/>
              <w:end w:w="60" w:type="dxa"/>
            </w:tcMar>
          </w:tcPr>
          <w:p>
            <w:pPr>
              <w:spacing w:after="0" w:line="240" w:lineRule="auto"/>
              <w:jc w:val="center"/>
            </w:pPr>
            <w:r/>
            <w:r>
              <w:rPr>
                <w:rFonts w:ascii="Times New Roman" w:hAnsi="Times New Roman" w:eastAsia="Times New Roman"/>
                <w:b/>
                <w:sz w:val="21"/>
              </w:rPr>
              <w:t>Nhóm vấn đề</w:t>
            </w:r>
          </w:p>
        </w:tc>
        <w:tc>
          <w:tcPr>
            <w:tcW w:type="dxa" w:w="3402"/>
            <w:vAlign w:val="center"/>
            <w:shd w:fill="D9EAF7"/>
            <w:tcMar>
              <w:top w:w="60" w:type="dxa"/>
              <w:start w:w="60" w:type="dxa"/>
              <w:bottom w:w="60" w:type="dxa"/>
              <w:end w:w="60" w:type="dxa"/>
            </w:tcMar>
          </w:tcPr>
          <w:p>
            <w:pPr>
              <w:spacing w:after="0" w:line="240" w:lineRule="auto"/>
              <w:jc w:val="center"/>
            </w:pPr>
            <w:r/>
            <w:r>
              <w:rPr>
                <w:rFonts w:ascii="Times New Roman" w:hAnsi="Times New Roman" w:eastAsia="Times New Roman"/>
                <w:b/>
                <w:sz w:val="21"/>
              </w:rPr>
              <w:t>Bài toán ngành cần giải quyết</w:t>
            </w:r>
          </w:p>
        </w:tc>
        <w:tc>
          <w:tcPr>
            <w:tcW w:type="dxa" w:w="3969"/>
            <w:vAlign w:val="center"/>
            <w:shd w:fill="D9EAF7"/>
            <w:tcMar>
              <w:top w:w="60" w:type="dxa"/>
              <w:start w:w="60" w:type="dxa"/>
              <w:bottom w:w="60" w:type="dxa"/>
              <w:end w:w="60" w:type="dxa"/>
            </w:tcMar>
          </w:tcPr>
          <w:p>
            <w:pPr>
              <w:spacing w:after="0" w:line="240" w:lineRule="auto"/>
              <w:jc w:val="center"/>
            </w:pPr>
            <w:r/>
            <w:r>
              <w:rPr>
                <w:rFonts w:ascii="Times New Roman" w:hAnsi="Times New Roman" w:eastAsia="Times New Roman"/>
                <w:b/>
                <w:sz w:val="21"/>
              </w:rPr>
              <w:t>Đầu ra KHCN mong muốn</w:t>
            </w:r>
          </w:p>
        </w:tc>
        <w:tc>
          <w:tcPr>
            <w:tcW w:type="dxa" w:w="2381"/>
            <w:vAlign w:val="center"/>
            <w:shd w:fill="D9EAF7"/>
            <w:tcMar>
              <w:top w:w="60" w:type="dxa"/>
              <w:start w:w="60" w:type="dxa"/>
              <w:bottom w:w="60" w:type="dxa"/>
              <w:end w:w="60" w:type="dxa"/>
            </w:tcMar>
          </w:tcPr>
          <w:p>
            <w:pPr>
              <w:spacing w:after="0" w:line="240" w:lineRule="auto"/>
              <w:jc w:val="center"/>
            </w:pPr>
            <w:r/>
            <w:r>
              <w:rPr>
                <w:rFonts w:ascii="Times New Roman" w:hAnsi="Times New Roman" w:eastAsia="Times New Roman"/>
                <w:b/>
                <w:sz w:val="21"/>
              </w:rPr>
              <w:t>Đối tượng sử dụng</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1. Dữ liệu y tế và AI dùng chung</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Dữ liệu phân tán; khó tái sử dụng; thiếu chuẩn liên thông, môi trường đánh giá AI và quản trị dữ liệu.</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Kiến trúc dữ liệu; kho dữ liệu nghiên cứu; API/chuẩn liên thông; môi trường thử nghiệm AI; dashboard; tiêu chuẩn ATTT và quản trị AI.</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Sở Y tế; bệnh viện; TTYT/TYT; viện-trường; doanh nghiệp số.</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2. Sức khỏe dân số – dự phòng – y tế cơ sở</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Quản lý sức khỏe theo vòng đời; KSK/sàng lọc; bệnh không lây nhiễm; người cao tuổi; ATTP; năng lực tuyến cơ sở.</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Mô hình phân tầng nguy cơ; công cụ hỗ trợ TYT; dữ liệu sức khỏe; telehealth; hệ thống cảnh báo; quy trình quản lý bệnh mạn.</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Cơ quan quản lý; TYT/TTYT; bệnh viện; người dân; doanh nghiệp y tế số.</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3. Bệnh viện thông minh và an toàn người bệnh</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ADR, AMR, nhiễm khuẩn, cấp cứu, theo dõi người bệnh, quản trị công suất và chất lượng.</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AI/CDSS; AI Agent; radar/cảm biến; dashboard; hệ thống điều phối; telemedicine; SOP và bộ chỉ số hiệu quả.</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Sở Y tế; bệnh viện; nhân viên y tế; doanh nghiệp công nghệ.</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4. Y học chính xác và y sinh tiên tiến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Cần cá thể hóa chẩn đoán – điều trị và làm chủ công nghệ chuyên sâu.</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Genomics/NGS; biomarker; mô hình dự báo; giải phẫu bệnh số; chẩn đoán hình ảnh định lượng; liệu pháp tế bào; quy trình đa trung tâm.</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Bệnh viện; cơ sở nghiên cứu; người bệnh; doanh nghiệp biotech/MedTech.</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5. MedTech, thiết bị thông minh và logistics</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Thiết bị mới cần được thử nghiệm, kiểm định, tích hợp dữ liệu và đánh giá hiệu quả thực tế.</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Thiết bị/prototype; radar/cảm biến; UAV y tế; phần mềm nhúng; tiêu chuẩn kiểm thử; hồ sơ chuyển giao và phương án thương mại hóa.</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Bệnh viện; cơ quan quản lý; doanh nghiệp sản xuất – công nghệ.</w:t>
            </w:r>
          </w:p>
        </w:tc>
      </w:tr>
      <w:tr>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6. Chuyển giao, thương mại hóa và quản trị đổi mới</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Nhiều đề tài nhưng tỷ lệ chuyển hóa thành sản phẩm, quy trình, dịch vụ và mô hình nhân rộng còn hạn chế.</w:t>
            </w:r>
          </w:p>
        </w:tc>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CSDL đề tài/chuyên gia/sản phẩm; gói chuyển giao; tài liệu đào tạo; HTA/đánh giá kinh tế; IP/licensing; living lab đa trung tâm.</w:t>
            </w:r>
          </w:p>
        </w:tc>
        <w:tc>
          <w:tcPr>
            <w:tcW w:type="dxa" w:w="238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9"/>
              </w:rPr>
              <w:t>Sở Y tế; Sở KH&amp;CN; bệnh viện; viện-trường; doanh nghiệp.</w:t>
            </w:r>
          </w:p>
        </w:tc>
      </w:tr>
    </w:tbl>
    <w:p>
      <w:pPr>
        <w:pStyle w:val="Heading1"/>
      </w:pPr>
      <w:r>
        <w:t>III. NĂM ĐỀ XUẤT TRAO ĐỔI VỚI SỞ KHOA HỌC VÀ CÔNG NGHỆ</w:t>
      </w:r>
    </w:p>
    <w:p>
      <w:pPr>
        <w:spacing w:line="264" w:lineRule="auto" w:after="60"/>
        <w:ind w:left="340" w:hanging="198"/>
        <w:jc w:val="both"/>
      </w:pPr>
      <w:r>
        <w:rPr>
          <w:rFonts w:ascii="Times New Roman" w:hAnsi="Times New Roman" w:eastAsia="Times New Roman"/>
          <w:sz w:val="27"/>
        </w:rPr>
        <w:t>• Tổ chức danh mục theo “bài toán ngành/chương trình” và khuyến khích nhiệm vụ đa trung tâm, liên ngành.</w:t>
      </w:r>
    </w:p>
    <w:p>
      <w:pPr>
        <w:spacing w:line="264" w:lineRule="auto" w:after="60"/>
        <w:ind w:left="340" w:hanging="198"/>
        <w:jc w:val="both"/>
      </w:pPr>
      <w:r>
        <w:rPr>
          <w:rFonts w:ascii="Times New Roman" w:hAnsi="Times New Roman" w:eastAsia="Times New Roman"/>
          <w:sz w:val="27"/>
        </w:rPr>
        <w:t>• Có cơ chế thí điểm/sandbox cho AI y tế, thiết bị y tế thông minh, UAV và các công nghệ mới.</w:t>
      </w:r>
    </w:p>
    <w:p>
      <w:pPr>
        <w:spacing w:line="264" w:lineRule="auto" w:after="60"/>
        <w:ind w:left="340" w:hanging="198"/>
        <w:jc w:val="both"/>
      </w:pPr>
      <w:r>
        <w:rPr>
          <w:rFonts w:ascii="Times New Roman" w:hAnsi="Times New Roman" w:eastAsia="Times New Roman"/>
          <w:sz w:val="27"/>
        </w:rPr>
        <w:t>• Hỗ trợ hạ tầng dùng chung: dữ liệu, môi trường thử nghiệm AI, nền tảng nghiên cứu đa trung tâm, tiêu chuẩn liên thông và an toàn dữ liệu.</w:t>
      </w:r>
    </w:p>
    <w:p>
      <w:pPr>
        <w:spacing w:line="264" w:lineRule="auto" w:after="60"/>
        <w:ind w:left="340" w:hanging="198"/>
        <w:jc w:val="both"/>
      </w:pPr>
      <w:r>
        <w:rPr>
          <w:rFonts w:ascii="Times New Roman" w:hAnsi="Times New Roman" w:eastAsia="Times New Roman"/>
          <w:sz w:val="27"/>
        </w:rPr>
        <w:t>• Tạo cơ chế đồng phát triển giữa bệnh viện – viện/trường – doanh nghiệp; hỗ trợ sở hữu trí tuệ, chuyển giao và thương mại hóa.</w:t>
      </w:r>
    </w:p>
    <w:p>
      <w:pPr>
        <w:spacing w:line="264" w:lineRule="auto" w:after="60"/>
        <w:ind w:left="340" w:hanging="198"/>
        <w:jc w:val="both"/>
      </w:pPr>
      <w:r>
        <w:rPr>
          <w:rFonts w:ascii="Times New Roman" w:hAnsi="Times New Roman" w:eastAsia="Times New Roman"/>
          <w:sz w:val="27"/>
        </w:rPr>
        <w:t>• Gắn nhiệm vụ với địa chỉ sử dụng, cam kết tiếp nhận, chỉ số hiệu quả chuyên môn – kinh tế và kế hoạch nhân rộng.</w:t>
      </w:r>
    </w:p>
    <w:p>
      <w:pPr>
        <w:pStyle w:val="Heading1"/>
      </w:pPr>
      <w:r>
        <w:t>IV. CĂN CỨ/TÀI LIỆU THAM KHẢO CHÍNH</w:t>
      </w:r>
    </w:p>
    <w:p>
      <w:pPr>
        <w:spacing w:line="264" w:lineRule="auto" w:after="60"/>
        <w:ind w:left="340" w:hanging="198"/>
        <w:jc w:val="both"/>
      </w:pPr>
      <w:r>
        <w:rPr>
          <w:rFonts w:ascii="Times New Roman" w:hAnsi="Times New Roman" w:eastAsia="Times New Roman"/>
          <w:sz w:val="27"/>
        </w:rPr>
        <w:t>• Quyết định số 1193/QĐ-UBND ngày 18/3/2026 của UBND thành phố Hà Nội về công bố Danh mục các bài toán lớn của thành phố Hà Nội giai đoạn 2026–2030 (đợt 1).</w:t>
      </w:r>
    </w:p>
    <w:p>
      <w:pPr>
        <w:spacing w:line="264" w:lineRule="auto" w:after="60"/>
        <w:ind w:left="340" w:hanging="198"/>
        <w:jc w:val="both"/>
      </w:pPr>
      <w:r>
        <w:rPr>
          <w:rFonts w:ascii="Times New Roman" w:hAnsi="Times New Roman" w:eastAsia="Times New Roman"/>
          <w:sz w:val="27"/>
        </w:rPr>
        <w:t>• Quyết định số 4217/QĐ-UBND ngày 12/8/2026 của UBND thành phố Hà Nội về Danh mục công nghệ chiến lược và sản phẩm công nghệ chiến lược ưu tiên giai đoạn 2026–2035.</w:t>
      </w:r>
    </w:p>
    <w:p>
      <w:pPr>
        <w:spacing w:line="264" w:lineRule="auto" w:after="60"/>
        <w:ind w:left="340" w:hanging="198"/>
        <w:jc w:val="both"/>
      </w:pPr>
      <w:r>
        <w:rPr>
          <w:rFonts w:ascii="Times New Roman" w:hAnsi="Times New Roman" w:eastAsia="Times New Roman"/>
          <w:sz w:val="27"/>
        </w:rPr>
        <w:t>• Quyết định số 4884/QĐ-UBND ngày 10/9/2026 của UBND thành phố Hà Nội phê duyệt Danh mục 7 lĩnh vực ưu tiên hỗ trợ đổi mới sáng tạo, hỗ trợ khởi nghiệp sáng tạo giai đoạn 2026–2030.</w:t>
      </w:r>
    </w:p>
    <w:p>
      <w:pPr>
        <w:spacing w:line="264" w:lineRule="auto" w:after="60"/>
        <w:ind w:left="340" w:hanging="198"/>
        <w:jc w:val="both"/>
      </w:pPr>
      <w:r>
        <w:rPr>
          <w:rFonts w:ascii="Times New Roman" w:hAnsi="Times New Roman" w:eastAsia="Times New Roman"/>
          <w:sz w:val="27"/>
        </w:rPr>
        <w:t>• Kế hoạch số 71/KH-UBND ngày 26/02/2026 của UBND thành phố Hà Nội thực hiện Chương trình hành động số 06-CTr/TU về tăng cường bảo vệ, chăm sóc và nâng cao sức khỏe Nhân dân.</w:t>
      </w:r>
    </w:p>
    <w:p>
      <w:pPr>
        <w:spacing w:line="264" w:lineRule="auto" w:after="60"/>
        <w:ind w:left="340" w:hanging="198"/>
        <w:jc w:val="both"/>
      </w:pPr>
      <w:r>
        <w:rPr>
          <w:rFonts w:ascii="Times New Roman" w:hAnsi="Times New Roman" w:eastAsia="Times New Roman"/>
          <w:sz w:val="27"/>
        </w:rPr>
        <w:t>• Đề án thành lập Trung tâm Đào tạo và Chuyển giao công nghệ Y tế Hà Nội – Sở Y tế Hà Nội.</w:t>
      </w:r>
    </w:p>
    <w:p>
      <w:pPr>
        <w:spacing w:line="264" w:lineRule="auto" w:after="60"/>
        <w:ind w:left="340" w:hanging="198"/>
        <w:jc w:val="both"/>
      </w:pPr>
      <w:r>
        <w:rPr>
          <w:rFonts w:ascii="Times New Roman" w:hAnsi="Times New Roman" w:eastAsia="Times New Roman"/>
          <w:sz w:val="27"/>
        </w:rPr>
        <w:t>• Báo cáo đánh giá công tác đào tạo, nghiên cứu khoa học, chuyển giao công nghệ, chuyển đổi số và hợp tác quốc tế của ngành Y tế Thủ đô.</w:t>
      </w:r>
    </w:p>
    <w:p>
      <w:pPr>
        <w:spacing w:line="264" w:lineRule="auto" w:after="60"/>
        <w:ind w:left="340" w:hanging="198"/>
        <w:jc w:val="both"/>
      </w:pPr>
      <w:r>
        <w:rPr>
          <w:rFonts w:ascii="Times New Roman" w:hAnsi="Times New Roman" w:eastAsia="Times New Roman"/>
          <w:sz w:val="27"/>
        </w:rPr>
        <w:t>• Tổng hợp sơ bộ các đề xuất nhiệm vụ KHCN&amp;ĐMST của các đơn vị gửi Sở Y tế/Trung tâm phục vụ Hội thảo tháng 9/2026.</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LÃNH ĐẠO SỞ Y TẾ PHÁT BIỂU TẠI HỘI THẢO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