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28"/>
        </w:rPr>
        <w:t>SỞ Y TẾ THÀNH PHỐ HÀ NỘI</w:t>
        <w:br/>
        <w:t>TRUNG TÂM ĐÀO TẠO VÀ CHUYỂN GIAO CÔNG NGHỆ Y TẾ HÀ NỘI</w:t>
      </w:r>
    </w:p>
    <w:p/>
    <w:p>
      <w:pPr>
        <w:jc w:val="center"/>
      </w:pPr>
      <w:r>
        <w:rPr>
          <w:b/>
          <w:color w:val="1F4E79"/>
          <w:sz w:val="32"/>
        </w:rPr>
        <w:t>DỰ THẢO</w:t>
      </w:r>
    </w:p>
    <w:p>
      <w:pPr>
        <w:spacing w:before="200"/>
        <w:jc w:val="center"/>
      </w:pPr>
      <w:r>
        <w:rPr>
          <w:b/>
          <w:color w:val="1F4E79"/>
          <w:sz w:val="34"/>
        </w:rPr>
        <w:t>BÁO CÁO THUYẾT MINH TỔNG HỢP, PHÂN NHÓM</w:t>
        <w:br/>
        <w:t>27 ĐỀ XUẤT NHIỆM VỤ KHOA HỌC, CÔNG NGHỆ</w:t>
        <w:br/>
        <w:t>VÀ ĐỔI MỚI SÁNG TẠO NGÀNH Y TẾ HÀ NỘI</w:t>
        <w:br/>
        <w:t>(Phục vụ lấy ý kiến các đơn vị và trao đổi tại Hội thảo)</w:t>
      </w:r>
    </w:p>
    <w:p/>
    <w:p/>
    <w:p>
      <w:pPr>
        <w:jc w:val="center"/>
      </w:pPr>
      <w:r>
        <w:rPr>
          <w:sz w:val="28"/>
        </w:rPr>
        <w:t>Hà Nội, tháng 9 năm 2026</w:t>
      </w:r>
    </w:p>
    <w:p>
      <w:r>
        <w:br w:type="page"/>
      </w:r>
    </w:p>
    <w:p>
      <w:pPr>
        <w:pStyle w:val="Heading1"/>
      </w:pPr>
      <w:r>
        <w:t>I. BỐI CẢNH, MỤC ĐÍCH VÀ NGUYÊN TẮC</w:t>
      </w:r>
    </w:p>
    <w:p>
      <w:pPr>
        <w:pStyle w:val="BodyJ"/>
      </w:pPr>
      <w:r>
        <w:t>Ngày 17/9/2026, Trung tâm Đào tạo và Chuyển giao công nghệ Y tế Hà Nội nhận được Công văn số 9572/SYT-NVY của Sở Y tế Hà Nội, trong đó giao Trung tâm làm đầu mối tiếp nhận danh sách các nhiệm vụ khoa học, công nghệ và đổi mới sáng tạo, báo cáo thuyết minh và tổng hợp danh sách cán bộ tham dự Hội thảo.</w:t>
      </w:r>
    </w:p>
    <w:p>
      <w:pPr>
        <w:pStyle w:val="BodyJ"/>
      </w:pPr>
      <w:r>
        <w:t>Trên cơ sở hồ sơ các đơn vị gửi, Trung tâm xây dựng báo cáo này nhằm hệ thống hóa toàn bộ danh mục, bước đầu phân nhóm theo định hướng ưu tiên của Thành phố, nhận diện phạm vi ứng dụng, đối tượng sử dụng sản phẩm, khả năng chuyển giao và hiệu quả kinh tế - xã hội cần tiếp tục làm rõ.</w:t>
      </w:r>
    </w:p>
    <w:p>
      <w:pPr>
        <w:pStyle w:val="BodyJ"/>
      </w:pPr>
      <w:r>
        <w:t>Báo cáo không phải là kết quả thẩm định, không xếp hạng, không quyết định việc lựa chọn hoặc đặt hàng nhiệm vụ; không làm thay đổi nội dung đề xuất, quyền chủ trì hoặc quyền sở hữu kết quả nghiên cứu của đơn vị. Việc phân nhóm chỉ phục vụ công tác tổng hợp, trao đổi và xin ý kiến trước khi báo cáo cơ quan quản lý.</w:t>
      </w:r>
    </w:p>
    <w:p>
      <w:pPr>
        <w:pStyle w:val="Heading1"/>
      </w:pPr>
      <w:r>
        <w:t>II. CĂN CỨ VÀ KHUNG PHÂN TÍCH</w:t>
      </w:r>
    </w:p>
    <w:p>
      <w:pPr>
        <w:pStyle w:val="BodyJ"/>
      </w:pPr>
      <w:r>
        <w:t>Việc phân nhóm được đối chiếu với các chủ trương, định hướng về khoa học, công nghệ, đổi mới sáng tạo và chuyển đổi số; trong đó Danh mục 7 lĩnh vực ưu tiên hỗ trợ đổi mới sáng tạo của Hà Nội giai đoạn 2026-2030 được sử dụng làm một khung tham chiếu chính.</w:t>
      </w:r>
    </w:p>
    <w:p>
      <w:pPr>
        <w:pStyle w:val="BodyJ"/>
      </w:pPr>
      <w:r>
        <w:t>Bảy lĩnh vực gồm: L1 - công nghệ số, AI, công nghệ thông tin và truyền thông, công nghệ lượng tử; L2 - công nghệ môi trường, giảm phát thải và ứng phó biến đổi khí hậu; L3 - công nghệ chế tạo, tự động hóa và vật liệu mới; L4 - y tế thông minh, công nghệ y sinh ứng dụng; L5 - công nghiệp văn hóa số, du lịch thông minh; L6 - nông nghiệp ứng dụng công nghệ cao; L7 - công nghệ sinh học.</w:t>
      </w:r>
    </w:p>
    <w:p>
      <w:pPr>
        <w:pStyle w:val="BodyJ"/>
      </w:pPr>
      <w:r>
        <w:t>Trong y tế, định hướng ưu tiên bao gồm AI trong chẩn đoán, điều trị và quản lý sức khỏe; thiết bị y tế thông minh; cảm biến sinh học; công nghệ sinh học phục vụ y tế; y tế dự phòng và khám chữa bệnh từ xa.</w:t>
      </w:r>
    </w:p>
    <w:p>
      <w:pPr>
        <w:pStyle w:val="BodyJ"/>
      </w:pPr>
      <w:r>
        <w:t>Mỗi nhiệm vụ được xác định một hoặc một số lĩnh vực liên quan. Để mô tả tính chất, báo cáo sử dụng: CM = chuyên môn; QL = quản lý; QT = quản trị; CN = ứng dụng/phát triển công nghệ. Phạm vi: BV = trước mắt tại một bệnh viện/đơn vị; HN = có khả năng áp dụng trong ngành Y tế Hà Nội; MR = có tiềm năng chuẩn hóa, chuyển giao và mở rộng ngoài Hà Nội.</w:t>
      </w:r>
    </w:p>
    <w:p>
      <w:pPr>
        <w:pStyle w:val="Heading1"/>
      </w:pPr>
      <w:r>
        <w:t>III. TOÀN CẢNH 27 ĐỀ XUẤT CỦA 09 ĐƠN VỊ</w:t>
      </w:r>
    </w:p>
    <w:p>
      <w:pPr>
        <w:pStyle w:val="BodyJ"/>
      </w:pPr>
      <w:r>
        <w:t>Tổng hợp hiện có 27 đề xuất của 09 đơn vị. Trong đó có 03 đề xuất của Trung tâm Đào tạo và Chuyển giao công nghệ Y tế Hà Nội và 24 đề xuất của 08 bệnh viện/cơ sở đào tạo khác.</w:t>
      </w:r>
    </w:p>
    <w:tbl>
      <w:tblPr>
        <w:tblStyle w:val="TableGrid"/>
        <w:tblW w:type="auto" w:w="0"/>
        <w:jc w:val="center"/>
        <w:tblLook w:firstColumn="1" w:firstRow="1" w:lastColumn="0" w:lastRow="0" w:noHBand="0" w:noVBand="1" w:val="04A0"/>
      </w:tblPr>
      <w:tblGrid>
        <w:gridCol w:w="3230"/>
        <w:gridCol w:w="3230"/>
        <w:gridCol w:w="3230"/>
      </w:tblGrid>
      <w:tr>
        <w:trPr>
          <w:tblHeader w:val="true"/>
        </w:trPr>
        <w:tc>
          <w:tcPr>
            <w:tcW w:type="dxa" w:w="850"/>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2"/>
              </w:rPr>
              <w:t>STT</w:t>
            </w:r>
          </w:p>
        </w:tc>
        <w:tc>
          <w:tcPr>
            <w:tcW w:type="dxa" w:w="7654"/>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2"/>
              </w:rPr>
              <w:t>Cơ quan/đơn vị</w:t>
            </w:r>
          </w:p>
        </w:tc>
        <w:tc>
          <w:tcPr>
            <w:tcW w:type="dxa" w:w="1701"/>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2"/>
              </w:rPr>
              <w:t>Số đề xuất</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1</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Trung tâm Đào tạo và Chuyển giao công nghệ Y tế Hà Nội</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3</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2</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Đa khoa Y học cổ truyền Hà Nội</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1</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3</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Phụ sản Hà Nội</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6</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4</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Thanh Nhàn</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1</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5</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Đa khoa Xanh Pôn</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5</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6</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Đa khoa Đức Giang</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5</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7</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Đa khoa Hà Đông</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1</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8</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Đại học Y Hà Nội</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1</w:t>
            </w:r>
          </w:p>
        </w:tc>
      </w:tr>
      <w:tr>
        <w:tc>
          <w:tcPr>
            <w:tcW w:type="dxa" w:w="85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9</w:t>
            </w:r>
          </w:p>
        </w:tc>
        <w:tc>
          <w:tcPr>
            <w:tcW w:type="dxa" w:w="7654"/>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Bệnh viện Trường Đại học Phenikaa</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1"/>
              </w:rPr>
              <w:t>4</w:t>
            </w:r>
          </w:p>
        </w:tc>
      </w:tr>
    </w:tbl>
    <w:p>
      <w:pPr>
        <w:pStyle w:val="BodyJ"/>
      </w:pPr>
      <w:r>
        <w:rPr>
          <w:b/>
        </w:rPr>
        <w:t xml:space="preserve">Cấu trúc tổng hợp nên được nhìn theo hai lớp: </w:t>
      </w:r>
      <w:r>
        <w:t>(1) 24 nhiệm vụ chuyên môn/công nghệ từ các đơn vị, phản ánh nhu cầu thực tế của hệ thống; và (2) 03 đề xuất của Trung tâm, tập trung vào hạ tầng quản trị nguồn lực, quản trị năng lực và quản trị dữ liệu để hỗ trợ triển khai ở quy mô ngành.</w:t>
      </w:r>
    </w:p>
    <w:p>
      <w:pPr>
        <w:pStyle w:val="Heading1"/>
      </w:pPr>
      <w:r>
        <w:t>IV. BỨC TRANH 24 ĐỀ XUẤT CỦA 08 ĐƠN VỊ KHÁC THEO LĨNH VỰC CHÍNH</w:t>
      </w:r>
    </w:p>
    <w:p>
      <w:pPr>
        <w:pStyle w:val="BodyJ"/>
      </w:pPr>
      <w:r>
        <w:t>Để tránh đếm trùng, 24 nhiệm vụ của các đơn vị khác được xếp theo một lĩnh vực chính; một nhiệm vụ vẫn có thể có thêm 1-2 lĩnh vực liên quan.</w:t>
      </w:r>
    </w:p>
    <w:tbl>
      <w:tblPr>
        <w:tblStyle w:val="TableGrid"/>
        <w:tblW w:type="auto" w:w="0"/>
        <w:jc w:val="center"/>
        <w:tblLook w:firstColumn="1" w:firstRow="1" w:lastColumn="0" w:lastRow="0" w:noHBand="0" w:noVBand="1" w:val="04A0"/>
      </w:tblPr>
      <w:tblGrid>
        <w:gridCol w:w="3230"/>
        <w:gridCol w:w="3230"/>
        <w:gridCol w:w="3230"/>
      </w:tblGrid>
      <w:tr>
        <w:trPr>
          <w:tblHeader w:val="true"/>
        </w:trPr>
        <w:tc>
          <w:tcPr>
            <w:tcW w:type="dxa" w:w="3969"/>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1"/>
              </w:rPr>
              <w:t>Lĩnh vực chính</w:t>
            </w:r>
          </w:p>
        </w:tc>
        <w:tc>
          <w:tcPr>
            <w:tcW w:type="dxa" w:w="1701"/>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1"/>
              </w:rPr>
              <w:t>Số nhiệm vụ sơ bộ</w:t>
            </w:r>
          </w:p>
        </w:tc>
        <w:tc>
          <w:tcPr>
            <w:tcW w:type="dxa" w:w="4535"/>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1"/>
              </w:rPr>
              <w:t>Nhận xét</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L4 - Y tế thông minh, công nghệ y sinh ứng dụng</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11</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Lớn nhất: chẩn đoán, điều trị, dự báo nguy cơ, y tế thông minh, kỹ thuật và thiết bị y tế.</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L7 - Công nghệ sinh học</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7</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Genomics, biomarker, sinh học phân tử, tế bào gốc, exosome, AMR.</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L1 - Công nghệ số, AI</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3</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AI Agent, Edge AI, hạ tầng/nền tảng dữ liệu số.</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L3 - Chế tạo, tự động hóa, thiết bị</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3</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Radar, cảm biến và hai nhiệm vụ UAV.</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L2 - Công nghệ môi trường</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0</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Chưa ghi nhận nhiệm vụ có lĩnh vực chính thuộc nhóm này.</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L5 - Công nghiệp văn hóa số, du lịch thông minh</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0</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Không phải lĩnh vực chính của các đề xuất y tế hiện tại.</w:t>
            </w:r>
          </w:p>
        </w:tc>
      </w:tr>
      <w:tr>
        <w:tc>
          <w:tcPr>
            <w:tcW w:type="dxa" w:w="3969"/>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L6 - Nông nghiệp ứng dụng công nghệ cao</w:t>
            </w:r>
          </w:p>
        </w:tc>
        <w:tc>
          <w:tcPr>
            <w:tcW w:type="dxa" w:w="170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20"/>
              </w:rPr>
              <w:t>0</w:t>
            </w:r>
          </w:p>
        </w:tc>
        <w:tc>
          <w:tcPr>
            <w:tcW w:type="dxa" w:w="453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0"/>
              </w:rPr>
              <w:t>Không phải lĩnh vực chính của các đề xuất y tế hiện tại.</w:t>
            </w:r>
          </w:p>
        </w:tc>
      </w:tr>
    </w:tbl>
    <w:p>
      <w:pPr>
        <w:pStyle w:val="BodyJ"/>
      </w:pPr>
      <w:r>
        <w:t>Như vậy 24 đề xuất của các đơn vị khác tập trung vào 4/7 lĩnh vực, nổi bật ba trục công nghệ: Y tế thông minh - Công nghệ sinh học/y sinh - AI và dữ liệu. Đây là cơ sở thuận lợi để nhận diện các cụm nhiệm vụ có thể dùng chung dữ liệu, hạ tầng, phương pháp đánh giá hoặc triển khai đa trung tâm.</w:t>
      </w:r>
    </w:p>
    <w:p>
      <w:pPr>
        <w:pStyle w:val="Heading1"/>
      </w:pPr>
      <w:r>
        <w:t>V. 03 ĐỀ XUẤT CỦA TRUNG TÂM - TẦNG QUẢN TRỊ VÀ HẠ TẦNG DÙNG CHUNG</w:t>
      </w:r>
    </w:p>
    <w:p>
      <w:pPr>
        <w:pStyle w:val="BodyJ"/>
      </w:pPr>
      <w:r>
        <w:t>Ba đề xuất của Trung tâm không thay thế các nhiệm vụ chuyên môn của bệnh viện. Các đề xuất này tập trung vào ba năng lực nền tảng có tính xuyên suốt: quản trị nguồn lực, quản trị năng lực nhân lực và quản trị dữ liệu/báo cáo; qua đó hỗ trợ kết nối, triển khai, đánh giá, đào tạo, chuyển giao và nhân rộng.</w:t>
      </w:r>
    </w:p>
    <w:p>
      <w:pPr>
        <w:pStyle w:val="BodyJ"/>
      </w:pPr>
      <w:r>
        <w:rPr>
          <w:b/>
          <w:color w:val="1F4E79"/>
        </w:rPr>
        <w:t>1. Giải pháp huy động, điều phối và quản lý nguồn lực khám sức khỏe toàn dân Hà Nội</w:t>
      </w:r>
    </w:p>
    <w:p>
      <w:pPr>
        <w:pStyle w:val="BodyJ"/>
        <w:ind w:left="397" w:hanging="198"/>
      </w:pPr>
      <w:r>
        <w:t>• Định vị: Quản trị nguồn lực và mạng lưới khám sức khỏe: từ lập bản đồ nhu cầu, xác thực năng lực/công suất, phân công nhiệm vụ, giám sát tiến độ đến quản lý sau khám.</w:t>
      </w:r>
    </w:p>
    <w:p>
      <w:pPr>
        <w:pStyle w:val="BodyJ"/>
        <w:ind w:left="397" w:hanging="198"/>
      </w:pPr>
      <w:r>
        <w:t>• Đầu ra chính: Bộ quy trình và tiêu chí nguồn lực; bản đồ nhu cầu/năng lực; ngân hàng nguồn lực; công cụ ghép nối; dashboard/cảnh báo/báo cáo; AI Agent thí điểm cho trạm y tế; Phiếu quyền lợi KSK điện tử; KPI và phương pháp tính hiệu quả chi phí; chương trình đào tạo và gói chuyển giao.</w:t>
      </w:r>
    </w:p>
    <w:p>
      <w:pPr>
        <w:pStyle w:val="BodyJ"/>
      </w:pPr>
      <w:r>
        <w:rPr>
          <w:b/>
          <w:color w:val="1F4E79"/>
        </w:rPr>
        <w:t>2. MEDCAP - Hộ chiếu năng lực số ngành Y tế Hà Nội</w:t>
      </w:r>
    </w:p>
    <w:p>
      <w:pPr>
        <w:pStyle w:val="BodyJ"/>
        <w:ind w:left="397" w:hanging="198"/>
      </w:pPr>
      <w:r>
        <w:t>• Định vị: Chuyển quản lý đào tạo từ hồ sơ-khóa học-chứng nhận sang vị trí việc làm-năng lực-khoảng trống-kế hoạch phát triển-minh chứng kết quả.</w:t>
      </w:r>
    </w:p>
    <w:p>
      <w:pPr>
        <w:pStyle w:val="BodyJ"/>
        <w:ind w:left="397" w:hanging="198"/>
      </w:pPr>
      <w:r>
        <w:t>• Đầu ra chính: Mô hình quản trị vòng đời năng lực; Hộ chiếu năng lực số; 08-12 bộ năng lực mẫu; Gap Analysis và kế hoạch phát triển cá nhân; dashboard/bản đồ năng lực; KPI; nguyên tắc dữ liệu và AI có trách nhiệm; tiêu chuẩn kết nối và lộ trình nhân rộng.</w:t>
      </w:r>
    </w:p>
    <w:p>
      <w:pPr>
        <w:pStyle w:val="BodyJ"/>
      </w:pPr>
      <w:r>
        <w:rPr>
          <w:b/>
          <w:color w:val="1F4E79"/>
        </w:rPr>
        <w:t>3. MedSurvey - Hệ thống Khảo sát Thông minh ngành Y tế Hà Nội</w:t>
      </w:r>
    </w:p>
    <w:p>
      <w:pPr>
        <w:pStyle w:val="BodyJ"/>
        <w:ind w:left="397" w:hanging="198"/>
      </w:pPr>
      <w:r>
        <w:t>• Định vị: Chuyển khảo sát/báo cáo từ nhập lại-tổng hợp thủ công sang tài liệu có sẵn-AI trích xuất-con người xác nhận-dữ liệu tái sử dụng.</w:t>
      </w:r>
    </w:p>
    <w:p>
      <w:pPr>
        <w:pStyle w:val="BodyJ"/>
        <w:ind w:left="397" w:hanging="198"/>
      </w:pPr>
      <w:r>
        <w:t>• Đầu ra chính: Phần mềm MedSurvey; kiến trúc đa chiến dịch; quy trình phê duyệt nhiều cấp, phân quyền và audit log; tải tài liệu và trích xuất có truy vết; dashboard/xuất dữ liệu; HanoiMed Core - thư viện trường dữ liệu và dịch vụ đọc tài liệu dùng chung; hồ sơ bàn giao kỹ thuật.</w:t>
      </w:r>
    </w:p>
    <w:p>
      <w:pPr>
        <w:sectPr>
          <w:footerReference w:type="default" r:id="rId9"/>
          <w:pgSz w:w="12240" w:h="15840"/>
          <w:pgMar w:top="1134" w:right="1134" w:bottom="1134" w:left="1417" w:header="720" w:footer="720" w:gutter="0"/>
          <w:cols w:space="720"/>
          <w:docGrid w:linePitch="360"/>
        </w:sectPr>
      </w:pPr>
    </w:p>
    <w:p>
      <w:pPr>
        <w:pStyle w:val="Heading1"/>
      </w:pPr>
      <w:r>
        <w:t>VI. MA TRẬN BƯỚC ĐẦU PHÂN LOẠI 27 ĐỀ XUẤT</w:t>
      </w:r>
    </w:p>
    <w:p>
      <w:pPr>
        <w:pStyle w:val="Small"/>
      </w:pPr>
      <w:r>
        <w:rPr>
          <w:b/>
        </w:rPr>
        <w:t xml:space="preserve">Lưu ý: </w:t>
      </w:r>
      <w:r>
        <w:t>Đây là phân loại phục vụ tổng hợp/xin ý kiến, không phải kết quả thẩm định. Đối với phạm vi “MR”, chỉ thể hiện tiềm năng chuẩn hóa/chuyển giao, không xác định cấp nhiệm vụ.</w:t>
      </w:r>
    </w:p>
    <w:tbl>
      <w:tblPr>
        <w:tblStyle w:val="TableGrid"/>
        <w:tblW w:type="auto" w:w="0"/>
        <w:jc w:val="center"/>
        <w:tblLook w:firstColumn="1" w:firstRow="1" w:lastColumn="0" w:lastRow="0" w:noHBand="0" w:noVBand="1" w:val="04A0"/>
      </w:tblPr>
      <w:tblGrid>
        <w:gridCol w:w="1634"/>
        <w:gridCol w:w="1634"/>
        <w:gridCol w:w="1634"/>
        <w:gridCol w:w="1634"/>
        <w:gridCol w:w="1634"/>
        <w:gridCol w:w="1634"/>
        <w:gridCol w:w="1634"/>
        <w:gridCol w:w="1634"/>
        <w:gridCol w:w="1634"/>
      </w:tblGrid>
      <w:tr>
        <w:trPr>
          <w:tblHeader w:val="true"/>
        </w:trPr>
        <w:tc>
          <w:tcPr>
            <w:tcW w:type="dxa" w:w="510"/>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TT</w:t>
            </w:r>
          </w:p>
        </w:tc>
        <w:tc>
          <w:tcPr>
            <w:tcW w:type="dxa" w:w="2551"/>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Cơ quan/đơn vị</w:t>
            </w:r>
          </w:p>
        </w:tc>
        <w:tc>
          <w:tcPr>
            <w:tcW w:type="dxa" w:w="680"/>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STT đề xuất</w:t>
            </w:r>
          </w:p>
        </w:tc>
        <w:tc>
          <w:tcPr>
            <w:tcW w:type="dxa" w:w="4932"/>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Nội dung đề xuất</w:t>
            </w:r>
          </w:p>
        </w:tc>
        <w:tc>
          <w:tcPr>
            <w:tcW w:type="dxa" w:w="1134"/>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Ưu tiên TP</w:t>
            </w:r>
          </w:p>
        </w:tc>
        <w:tc>
          <w:tcPr>
            <w:tcW w:type="dxa" w:w="1304"/>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Tính chất</w:t>
            </w:r>
          </w:p>
        </w:tc>
        <w:tc>
          <w:tcPr>
            <w:tcW w:type="dxa" w:w="1361"/>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Phạm vi</w:t>
            </w:r>
          </w:p>
        </w:tc>
        <w:tc>
          <w:tcPr>
            <w:tcW w:type="dxa" w:w="1531"/>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Người sử dụng đầu ra</w:t>
            </w:r>
          </w:p>
        </w:tc>
        <w:tc>
          <w:tcPr>
            <w:tcW w:type="dxa" w:w="3402"/>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Hiệu quả KT-XH/kinh tế cần tiếp tục làm rõ</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Giải pháp huy động, điều phối và quản lý nguồn lực khám sức khỏe toàn dân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QT + QL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thời gian điều phối và tổng hợp báo cáo; tăng hiệu quả sử dụng công suất nguồn lực; giảm chi phí tổ chức; nâng năng lực y tế cơ sở; tạo mô hình có thể chuyển giao.</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MEDCAP - Hộ chiếu năng lực số ngành Y tế Hà Nội: Giải pháp quản trị vòng đời năng lực và cải cách toàn trình công tác đào tạo, bồi dưỡng, phát triển nhân lực y tế</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QT + QL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đào tạo dàn trải và thời gian tổng hợp nhu cầu; sử dụng hiệu quả ngân sách đào tạo; tạo dữ liệu quản trị năng lực và nền tảng số dùng chung.</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MedSurvey - Hệ thống Khảo sát Thông minh ngành Y tế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QT + CN + QL</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nhập lại dữ liệu và thời gian tổng hợp; giảm lỗi; tăng truy vết và tái sử dụng dữ liệu; tạo nền tảng có thể bàn giao, mở rộng.</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Y học cổ truyền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học máy dự đoán phân tầng đáp ứng điều trị người bệnh bàng quang tăng hoạt bằng điện châm</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điều trị không hiệu quả; chuẩn hóa theo dõi; tăng hỗ trợ ra quyết định lâm sàng; khả năng chuyển giao mô hình.</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Đánh giá hiệu quả can thiệp trước sinh thoát vị cơ hoành bẩm sinh bằng kỹ thuật làm tắc khí quản qua nội soi thai nhi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HN/MR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chuyển tuyến và biến chứng; hình thành, chuẩn hóa dịch vụ kỹ thuật cao.</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và đánh giá mô hình dự đoán sớm các bệnh lý sản khoa tiền sản giật, sinh non và đái tháo đường thai kỳ ở thai phụ thực hiện NIPT</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xét nghiệm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Phát hiện sớm nhóm nguy cơ; giảm biến chứng; khả năng hình thành dịch vụ xét nghiệm/dự báo.</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kỹ thuật khâu vòng cổ tử cung dự phòng và điều trị đẻ non</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HN</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sinh non và chi phí điều trị sơ sinh; chuẩn hóa kỹ thuật.</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mô hình tiên đoán tiền sản giật dựa trên Doppler động mạch mắt và các chỉ số sinh học phụ nữ Việt Nam</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L7</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thiết bị/xét nghiệm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Phát hiện sớm; giảm biến chứng mẹ - con; hỗ trợ dự phòng có mục tiêu.</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Đầu tư hệ thống máy HIFU tại Bệnh viện Phụ sản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L3</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Hình thành dịch vụ kỹ thuật mới; giảm can thiệp phẫu thuật/chuyển tuyến; cần làm rõ phần nghiên cứu, đánh giá và làm chủ công nghệ.</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Nâng cấp hệ thống hạ tầng công nghệ thông tin của Bệnh viện Phụ sản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QL</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Tăng năng suất và độ ổn định vận hành; bảo đảm kết nối, chia sẻ dữ liệu; cần làm rõ phần ĐMST so với đầu tư thông thường.</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Thanh Nhàn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công nghệ giải trình tự gen thế hệ mới phát hiện đột biến trên 120 gen và đánh giá mối liên quan với hiệu quả điều trị ở bệnh nhân ung thư phổi không tế bào nhỏ tại các bệnh viện trên địa bàn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biotech</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Cá thể hóa điều trị; tránh điều trị không hiệu quả; phát triển dịch vụ genomics và phần mềm tin sinh học/AI.</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kỹ thuật Real-time PCR phát hiện alen HLA-B*58:01 và xây dựng mô hình học máy trong cá thể hóa điều trị bệnh Gout tại bệnh viện trên địa bàn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xét nghiệm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phản ứng có hại nặng; tối ưu kê đơn; khả năng hình thành sản phẩm xét nghiệm/thuật toán.</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kỹ thuật lai phân tử phát hiện đa hình gen CYP2C19 trong cá thể hóa liệu pháp kháng tiểu cầu tại bệnh viện trên địa bàn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xét nghiệm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nguy cơ huyết khối/xuất huyết; tối ưu sử dụng thuốc và chi phí điều trị.</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phát triển và ứng dụng trí tuệ nhân tạo nhằm giám sát tích cực phản ứng có hại thuốc dựa trên một số xét nghiệm cận lâm sàng tại các bệnh viện thuộc Sở Y tế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ADR và nhân lực rà soát; tự động hóa cảnh giác dược; phần mềm có khả năng chuyển giao.</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đặc điểm và phân tích dữ liệu vi khuẩn đa kháng và dịch tễ học gen của một số chủng kháng carbapenem tại các bệnh viện thuộc Sở Y tế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kháng thuốc, chi phí kháng sinh và thời gian điều trị; hỗ trợ giám sát toàn ngành.</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mô hình tiên lượng và quy trình phân tầng nguy cơ xơ vữa động mạch cảnh tiền lâm sàng bằng siêu âm Doppler trong khám sức khỏe: nghiên cứu triển khai tại Bệnh viện Đa khoa Xanh Pôn, định hướng mở rộng trong ngành Y tế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HN</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Chỉ định cận lâm sàng đúng đối tượng; tối ưu chi phí khám sức khỏe; chuẩn hóa quy trình phân tầng nguy cơ.</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đặc điểm gen kháng thuốc và hiệu quả mô hình quản lý sử dụng kháng sinh (AMS) tối ưu hóa trong điều trị nhiễm khuẩn hô hấp nặng tại Bệnh viện Đa khoa Đức Giang và hệ thống bệnh viện đa khoa thành phố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L1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 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sử dụng kháng sinh hạn chế, kháng thuốc và chi phí điều trị; hỗ trợ chính sách và dashboard HIS.</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hiệu quả điều trị vết thương bằng phương pháp tế bào gốc và exosome tại Bệnh viện Đa khoa Đức Giang</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L7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 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HN/MR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biotech</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Rút ngắn điều trị; hình thành kỹ thuật/dịch vụ mới; chuẩn hóa SOP và khả năng chuyển giao.</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công nghệ radar trong giám sát không tiếp xúc các dấu hiệu sinh tồn (nhịp tim, nhịp thở, thân nhiệt, SpO2) và cảnh báo an toàn người bệnh tại Bệnh viện Đa khoa Đức Giang</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L3 + 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BV → HN</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nhân lực giám sát; giảm biến cố; tăng tốc phát hiện sự cố; tiềm năng sản phẩm thiết bị/phần mềm.</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xây dựng quy trình ứng dụng thiết bị bay không người lái (UAV) vận chuyển máy sốc điện tự động trong cấp cứu ngừng tuần hoàn tại Bệnh viện Đa khoa Đức Giang</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L3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QL</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Khu vực → HN/MR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Rút ngắn thời gian tiếp cận AED; tăng hiệu quả cấp cứu; hình thành mô hình dịch vụ UAV y tế.</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thiết bị bay không người lái (UAV) vận chuyển mẫu bệnh phẩm hỗ trợ khám chữa bệnh liên viện, Trạm Y tế tại Bệnh viện Đa khoa Đức Giang</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L3 + 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QL</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Mạng BV-TYT → HN</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thời gian và chi phí logistics; giảm thời gian chờ xét nghiệm; khả năng nhân rộng mô hình.</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7</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Hà Đông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kết hợp mô hình vật lý và xử lý biên (edge AI) nhằm nâng cao chất lượng ảnh hệ thống camera quang học phục vụ quan sát mẫu tại các Bệnh viện Hà Nội</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L1 + L4 + L3</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Hạn chế nhu cầu nâng cấp phần cứng đắt tiền; phát triển phần mềm xử lý ảnh; hỗ trợ chẩn đoán.</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8</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Đại học Y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giá trị của siêu âm định lượng và cộng hưởng từ định lượng trong phân độ gan nhiễm mỡ và xơ hoá gan</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 thiết bị</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Giảm sinh thiết và biến chứng; tối ưu chi phí; chuẩn hóa chẩn đoán hình ảnh không xâm lấn.</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hệ thống trí tuệ nhân tạo hỗ trợ sàng lọc, phân tầng nguy cơ và điều hướng chăm sóc các bệnh chuyển hóa phổ biến</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Sàng lọc sớm; giảm gánh nặng bệnh mạn; tăng hiệu quả điều hướng; khả năng phát triển phần mềm.</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nền tảng tầm soát và phân tầng nguy cơ các bệnh lão khoa, suy giảm nhận thức và thoái hóa thần kinh dựa trên trí tuệ nhân tạo</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Phát hiện sớm; hỗ trợ quản lý cộng đồng; giảm gánh nặng chăm sóc; phát triển sản phẩm số.</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trí tuệ nhân tạo và giải phẫu bệnh số trong chẩn đoán và hội chẩn từ xa</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QL, 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Tăng tiếp cận chuyên gia; giảm chi phí hội chẩn/di chuyển; chuẩn hóa dữ liệu tiêu bản số.</w:t>
            </w:r>
          </w:p>
        </w:tc>
      </w:tr>
      <w:tr>
        <w:trPr>
          <w:cantSplit/>
        </w:trPr>
        <w:tc>
          <w:tcPr>
            <w:tcW w:type="dxa" w:w="51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551"/>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493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Phát triển mô hình trí tuệ nhân tạo đa phương thức hỗ trợ dự báo đáp ứng điều trị và cá thể hóa điều trị ung thư</w:t>
            </w:r>
          </w:p>
        </w:tc>
        <w:tc>
          <w:tcPr>
            <w:tcW w:type="dxa" w:w="113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L4 + L1 + L7</w:t>
            </w:r>
          </w:p>
        </w:tc>
        <w:tc>
          <w:tcPr>
            <w:tcW w:type="dxa" w:w="130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CN + CM</w:t>
            </w:r>
          </w:p>
        </w:tc>
        <w:tc>
          <w:tcPr>
            <w:tcW w:type="dxa" w:w="136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HN → MR</w:t>
            </w:r>
          </w:p>
        </w:tc>
        <w:tc>
          <w:tcPr>
            <w:tcW w:type="dxa" w:w="1531"/>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CM, DN</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Cá thể hóa điều trị; giảm điều trị không hiệu quả; hình thành cơ sở dữ liệu đa phương thức và sản phẩm AI.</w:t>
            </w:r>
          </w:p>
        </w:tc>
      </w:tr>
    </w:tbl>
    <w:p>
      <w:pPr>
        <w:sectPr>
          <w:footerReference w:type="default" r:id="rId10"/>
          <w:pgSz w:w="15840" w:h="12240" w:orient="landscape"/>
          <w:pgMar w:top="737" w:right="567" w:bottom="737" w:left="567" w:header="720" w:footer="720" w:gutter="0"/>
          <w:cols w:space="720"/>
          <w:docGrid w:linePitch="360"/>
        </w:sectPr>
      </w:pPr>
    </w:p>
    <w:p>
      <w:pPr>
        <w:pStyle w:val="Heading1"/>
      </w:pPr>
      <w:r>
        <w:t>VII. NHẬN ĐỊNH BƯỚC ĐẦU TỪ DANH MỤC</w:t>
      </w:r>
    </w:p>
    <w:p>
      <w:pPr>
        <w:pStyle w:val="BodyJ"/>
        <w:ind w:left="454" w:hanging="454"/>
      </w:pPr>
      <w:r>
        <w:rPr>
          <w:b/>
        </w:rPr>
        <w:t xml:space="preserve">1. </w:t>
      </w:r>
      <w:r>
        <w:t>Danh mục có thế mạnh rõ về chuyên môn và ứng dụng/phát triển công nghệ, từ kỹ thuật chuyên sâu, genomics, y học chính xác đến AI, radar, UAV và giải phẫu bệnh số.</w:t>
      </w:r>
    </w:p>
    <w:p>
      <w:pPr>
        <w:pStyle w:val="BodyJ"/>
        <w:ind w:left="454" w:hanging="454"/>
      </w:pPr>
      <w:r>
        <w:rPr>
          <w:b/>
        </w:rPr>
        <w:t xml:space="preserve">2. </w:t>
      </w:r>
      <w:r>
        <w:t>Nhiều nhiệm vụ có phạm vi vượt một bệnh viện nếu được thiết kế đa trung tâm, dùng chung dữ liệu hoặc chuẩn hóa quy trình. Các nhiệm vụ AI Agent cảnh giác dược, AMR/AMS, giải phẫu bệnh số, NGS, UAV logistics và các mô hình sàng lọc là những ví dụ có khả năng liên kết.</w:t>
      </w:r>
    </w:p>
    <w:p>
      <w:pPr>
        <w:pStyle w:val="BodyJ"/>
        <w:ind w:left="454" w:hanging="454"/>
      </w:pPr>
      <w:r>
        <w:rPr>
          <w:b/>
        </w:rPr>
        <w:t xml:space="preserve">3. </w:t>
      </w:r>
      <w:r>
        <w:t>Nhóm quản trị hệ thống còn ít trong đề xuất từ các cơ sở chuyên môn. Ba đề xuất của Trung tâm bổ sung tầng quản trị nguồn lực, quản trị năng lực và quản trị dữ liệu, qua đó có thể hỗ trợ các nhiệm vụ chuyên môn đi từ nghiên cứu/thử nghiệm đến triển khai và nhân rộng.</w:t>
      </w:r>
    </w:p>
    <w:p>
      <w:pPr>
        <w:pStyle w:val="BodyJ"/>
        <w:ind w:left="454" w:hanging="454"/>
      </w:pPr>
      <w:r>
        <w:rPr>
          <w:b/>
        </w:rPr>
        <w:t xml:space="preserve">4. </w:t>
      </w:r>
      <w:r>
        <w:t>Một số đề xuất hiện có tính chất gần với đầu tư/mua sắm (ví dụ HIFU, hạ tầng CNTT). Khi trao đổi với Sở Khoa học và Công nghệ cần làm rõ phần nghiên cứu, thử nghiệm, đánh giá, làm chủ công nghệ và khả năng chuyển giao để lựa chọn đúng cơ chế.</w:t>
      </w:r>
    </w:p>
    <w:p>
      <w:pPr>
        <w:pStyle w:val="BodyJ"/>
        <w:ind w:left="454" w:hanging="454"/>
      </w:pPr>
      <w:r>
        <w:rPr>
          <w:b/>
        </w:rPr>
        <w:t xml:space="preserve">5. </w:t>
      </w:r>
      <w:r>
        <w:t>Cần chuyển trọng tâm từ “đề tài có sản phẩm” sang “sản phẩm có địa chỉ sử dụng”, tức xác định ngay cơ quan quản lý, đơn vị chuyên môn và/hoặc doanh nghiệp nào sẽ tiếp nhận, sử dụng, vận hành hoặc thương mại hóa kết quả.</w:t>
      </w:r>
    </w:p>
    <w:p>
      <w:pPr>
        <w:pStyle w:val="Heading1"/>
      </w:pPr>
      <w:r>
        <w:t>VIII. KHUNG ĐẦU RA ỨNG DỤNG VÀ HIỆU QUẢ KINH TẾ - XÃ HỘI</w:t>
      </w:r>
    </w:p>
    <w:p>
      <w:pPr>
        <w:pStyle w:val="BodyJ"/>
      </w:pPr>
      <w:r>
        <w:t>Đề nghị mỗi nhiệm vụ, tùy tính chất, làm rõ các nhóm đầu ra dưới đây. Không yêu cầu mọi nhiệm vụ phải có đủ tất cả nhóm, nhưng phải xác định rõ sản phẩm chủ yếu và địa chỉ sử dụng.</w:t>
      </w:r>
    </w:p>
    <w:tbl>
      <w:tblPr>
        <w:tblStyle w:val="TableGrid"/>
        <w:tblW w:type="auto" w:w="0"/>
        <w:jc w:val="center"/>
        <w:tblLook w:firstColumn="1" w:firstRow="1" w:lastColumn="0" w:lastRow="0" w:noHBand="0" w:noVBand="1" w:val="04A0"/>
      </w:tblPr>
      <w:tblGrid>
        <w:gridCol w:w="6644"/>
        <w:gridCol w:w="6644"/>
      </w:tblGrid>
      <w:tr>
        <w:trPr>
          <w:tblHeader w:val="true"/>
        </w:trPr>
        <w:tc>
          <w:tcPr>
            <w:tcW w:type="dxa" w:w="2948"/>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2"/>
              </w:rPr>
              <w:t>Nhóm đầu ra</w:t>
            </w:r>
          </w:p>
        </w:tc>
        <w:tc>
          <w:tcPr>
            <w:tcW w:type="dxa" w:w="6973"/>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22"/>
              </w:rPr>
              <w:t>Nội dung cần làm rõ</w:t>
            </w:r>
          </w:p>
        </w:tc>
      </w:tr>
      <w:tr>
        <w:tc>
          <w:tcPr>
            <w:tcW w:type="dxa" w:w="2948"/>
            <w:vAlign w:val="center"/>
            <w:tcMar>
              <w:top w:w="45" w:type="dxa"/>
              <w:start w:w="45" w:type="dxa"/>
              <w:bottom w:w="45" w:type="dxa"/>
              <w:end w:w="45" w:type="dxa"/>
            </w:tcMar>
          </w:tcPr>
          <w:p>
            <w:pPr>
              <w:spacing w:after="0" w:line="240" w:lineRule="auto"/>
              <w:jc w:val="left"/>
            </w:pPr>
            <w:r/>
            <w:r>
              <w:rPr>
                <w:rFonts w:ascii="Times New Roman" w:hAnsi="Times New Roman" w:eastAsia="Times New Roman"/>
                <w:b/>
                <w:sz w:val="21"/>
              </w:rPr>
              <w:t>A. Cơ quan quản lý</w:t>
            </w:r>
          </w:p>
        </w:tc>
        <w:tc>
          <w:tcPr>
            <w:tcW w:type="dxa" w:w="6973"/>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Dashboard, bộ chỉ số, dữ liệu, mô hình quản lý/quản trị, tiêu chuẩn, báo cáo bằng chứng, khuyến nghị chính sách, công cụ hỗ trợ quyết định.</w:t>
            </w:r>
          </w:p>
        </w:tc>
      </w:tr>
      <w:tr>
        <w:tc>
          <w:tcPr>
            <w:tcW w:type="dxa" w:w="2948"/>
            <w:vAlign w:val="center"/>
            <w:tcMar>
              <w:top w:w="45" w:type="dxa"/>
              <w:start w:w="45" w:type="dxa"/>
              <w:bottom w:w="45" w:type="dxa"/>
              <w:end w:w="45" w:type="dxa"/>
            </w:tcMar>
          </w:tcPr>
          <w:p>
            <w:pPr>
              <w:spacing w:after="0" w:line="240" w:lineRule="auto"/>
              <w:jc w:val="left"/>
            </w:pPr>
            <w:r/>
            <w:r>
              <w:rPr>
                <w:rFonts w:ascii="Times New Roman" w:hAnsi="Times New Roman" w:eastAsia="Times New Roman"/>
                <w:b/>
                <w:sz w:val="21"/>
              </w:rPr>
              <w:t>B. Đơn vị chuyên môn</w:t>
            </w:r>
          </w:p>
        </w:tc>
        <w:tc>
          <w:tcPr>
            <w:tcW w:type="dxa" w:w="6973"/>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Quy trình/SOP, hướng dẫn, thuật toán, mô hình dự báo, dữ liệu chuẩn, phần mềm, thiết bị, phác đồ hoặc công cụ hỗ trợ thực hành.</w:t>
            </w:r>
          </w:p>
        </w:tc>
      </w:tr>
      <w:tr>
        <w:tc>
          <w:tcPr>
            <w:tcW w:type="dxa" w:w="2948"/>
            <w:vAlign w:val="center"/>
            <w:tcMar>
              <w:top w:w="45" w:type="dxa"/>
              <w:start w:w="45" w:type="dxa"/>
              <w:bottom w:w="45" w:type="dxa"/>
              <w:end w:w="45" w:type="dxa"/>
            </w:tcMar>
          </w:tcPr>
          <w:p>
            <w:pPr>
              <w:spacing w:after="0" w:line="240" w:lineRule="auto"/>
              <w:jc w:val="left"/>
            </w:pPr>
            <w:r/>
            <w:r>
              <w:rPr>
                <w:rFonts w:ascii="Times New Roman" w:hAnsi="Times New Roman" w:eastAsia="Times New Roman"/>
                <w:b/>
                <w:sz w:val="21"/>
              </w:rPr>
              <w:t>C. Doanh nghiệp</w:t>
            </w:r>
          </w:p>
        </w:tc>
        <w:tc>
          <w:tcPr>
            <w:tcW w:type="dxa" w:w="6973"/>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Prototype, đặc tả kỹ thuật, API, thuật toán, thiết kế thiết bị, phần mềm, IP, hồ sơ chuyển giao/licensing hoặc yêu cầu sản xuất/tích hợp.</w:t>
            </w:r>
          </w:p>
        </w:tc>
      </w:tr>
      <w:tr>
        <w:tc>
          <w:tcPr>
            <w:tcW w:type="dxa" w:w="2948"/>
            <w:vAlign w:val="center"/>
            <w:tcMar>
              <w:top w:w="45" w:type="dxa"/>
              <w:start w:w="45" w:type="dxa"/>
              <w:bottom w:w="45" w:type="dxa"/>
              <w:end w:w="45" w:type="dxa"/>
            </w:tcMar>
          </w:tcPr>
          <w:p>
            <w:pPr>
              <w:spacing w:after="0" w:line="240" w:lineRule="auto"/>
              <w:jc w:val="left"/>
            </w:pPr>
            <w:r/>
            <w:r>
              <w:rPr>
                <w:rFonts w:ascii="Times New Roman" w:hAnsi="Times New Roman" w:eastAsia="Times New Roman"/>
                <w:b/>
                <w:sz w:val="21"/>
              </w:rPr>
              <w:t>D. Chuyển giao</w:t>
            </w:r>
          </w:p>
        </w:tc>
        <w:tc>
          <w:tcPr>
            <w:tcW w:type="dxa" w:w="6973"/>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Bộ tài liệu đào tạo, chương trình đào tạo, quy trình triển khai, tiêu chí kiểm định, gói chuyển giao và phương án nhân rộng.</w:t>
            </w:r>
          </w:p>
        </w:tc>
      </w:tr>
      <w:tr>
        <w:tc>
          <w:tcPr>
            <w:tcW w:type="dxa" w:w="2948"/>
            <w:vAlign w:val="center"/>
            <w:tcMar>
              <w:top w:w="45" w:type="dxa"/>
              <w:start w:w="45" w:type="dxa"/>
              <w:bottom w:w="45" w:type="dxa"/>
              <w:end w:w="45" w:type="dxa"/>
            </w:tcMar>
          </w:tcPr>
          <w:p>
            <w:pPr>
              <w:spacing w:after="0" w:line="240" w:lineRule="auto"/>
              <w:jc w:val="left"/>
            </w:pPr>
            <w:r/>
            <w:r>
              <w:rPr>
                <w:rFonts w:ascii="Times New Roman" w:hAnsi="Times New Roman" w:eastAsia="Times New Roman"/>
                <w:b/>
                <w:sz w:val="21"/>
              </w:rPr>
              <w:t>E. Hiệu quả kinh tế - xã hội</w:t>
            </w:r>
          </w:p>
        </w:tc>
        <w:tc>
          <w:tcPr>
            <w:tcW w:type="dxa" w:w="6973"/>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21"/>
              </w:rPr>
              <w:t>Chi phí tiết kiệm; tăng năng suất; giảm ngày nằm viện/chuyển tuyến/biến cố; dịch vụ mới; thay thế nhập khẩu; giá trị thương mại hóa hoặc tác động ngân sách.</w:t>
            </w:r>
          </w:p>
        </w:tc>
      </w:tr>
    </w:tbl>
    <w:p>
      <w:pPr>
        <w:pStyle w:val="BodyJ"/>
      </w:pPr>
      <w:r>
        <w:t>Đối với hiệu quả kinh tế, trước mắt không yêu cầu tất cả đơn vị phải tính đầy đủ ROI. Tối thiểu cần xác định baseline, kết quả kỳ vọng, số lượng người/đơn vị hưởng lợi, chi phí triển khai và loại lợi ích có thể lượng hóa. Với nhiệm vụ có tiềm năng thương mại hóa, cần làm rõ doanh nghiệp có thể tiếp nhận, đồng phát triển, sản xuất, tích hợp hoặc kinh doanh sản phẩm.</w:t>
      </w:r>
    </w:p>
    <w:p>
      <w:pPr>
        <w:pStyle w:val="Heading1"/>
      </w:pPr>
      <w:r>
        <w:t>IX. NỘI DUNG ĐỀ XUẤT TRAO ĐỔI VỚI SỞ KHOA HỌC VÀ CÔNG NGHỆ</w:t>
      </w:r>
    </w:p>
    <w:p>
      <w:pPr>
        <w:pStyle w:val="BodyJ"/>
        <w:ind w:left="454" w:hanging="454"/>
      </w:pPr>
      <w:r>
        <w:rPr>
          <w:b/>
        </w:rPr>
        <w:t xml:space="preserve">1. </w:t>
      </w:r>
      <w:r>
        <w:t>Cho phép nhìn danh mục theo cụm/chương trình lớn thay vì chỉ theo từng đề tài riêng lẻ, đặc biệt với các nhóm có cùng dữ liệu, công nghệ hoặc đối tượng ứng dụng.</w:t>
      </w:r>
    </w:p>
    <w:p>
      <w:pPr>
        <w:pStyle w:val="BodyJ"/>
        <w:ind w:left="454" w:hanging="454"/>
      </w:pPr>
      <w:r>
        <w:rPr>
          <w:b/>
        </w:rPr>
        <w:t xml:space="preserve">2. </w:t>
      </w:r>
      <w:r>
        <w:t>Khuyến khích thiết kế nhiệm vụ đa trung tâm đối với các vấn đề chung của ngành, có bộ dữ liệu đủ lớn và khả năng nhân rộng.</w:t>
      </w:r>
    </w:p>
    <w:p>
      <w:pPr>
        <w:pStyle w:val="BodyJ"/>
        <w:ind w:left="454" w:hanging="454"/>
      </w:pPr>
      <w:r>
        <w:rPr>
          <w:b/>
        </w:rPr>
        <w:t xml:space="preserve">3. </w:t>
      </w:r>
      <w:r>
        <w:t>Xem xét cơ chế/hạ tầng dữ liệu dùng chung cho AI, genomics, giải phẫu bệnh số, cảnh giác dược, AMR và các bài toán quản trị dựa trên dữ liệu.</w:t>
      </w:r>
    </w:p>
    <w:p>
      <w:pPr>
        <w:pStyle w:val="BodyJ"/>
        <w:ind w:left="454" w:hanging="454"/>
      </w:pPr>
      <w:r>
        <w:rPr>
          <w:b/>
        </w:rPr>
        <w:t xml:space="preserve">4. </w:t>
      </w:r>
      <w:r>
        <w:t>Có cơ chế thử nghiệm, đánh giá đổi mới sáng tạo phù hợp đối với AI, UAV, radar, thiết bị y tế thông minh và các mô hình số mới; làm rõ yêu cầu an toàn, đạo đức, bảo mật và trách nhiệm con người.</w:t>
      </w:r>
    </w:p>
    <w:p>
      <w:pPr>
        <w:pStyle w:val="BodyJ"/>
        <w:ind w:left="454" w:hanging="454"/>
      </w:pPr>
      <w:r>
        <w:rPr>
          <w:b/>
        </w:rPr>
        <w:t xml:space="preserve">5. </w:t>
      </w:r>
      <w:r>
        <w:t>Tăng cơ chế hợp tác giữa cơ quan quản lý - bệnh viện/trạm y tế - trường/viện - doanh nghiệp để đồng phát triển, kiểm chứng, chuyển giao và thương mại hóa sản phẩm.</w:t>
      </w:r>
    </w:p>
    <w:p>
      <w:pPr>
        <w:pStyle w:val="BodyJ"/>
        <w:ind w:left="454" w:hanging="454"/>
      </w:pPr>
      <w:r>
        <w:rPr>
          <w:b/>
        </w:rPr>
        <w:t xml:space="preserve">6. </w:t>
      </w:r>
      <w:r>
        <w:t>Coi đào tạo, chuyển giao, đánh giá hiệu quả và phương án nhân rộng là đầu ra quan trọng đối với các nhiệm vụ hướng tới ứng dụng toàn ngành.</w:t>
      </w:r>
    </w:p>
    <w:p>
      <w:pPr>
        <w:pStyle w:val="BodyJ"/>
        <w:ind w:left="454" w:hanging="454"/>
      </w:pPr>
      <w:r>
        <w:rPr>
          <w:b/>
        </w:rPr>
        <w:t xml:space="preserve">7. </w:t>
      </w:r>
      <w:r>
        <w:t>Khuyến khích bổ sung đánh giá kinh tế y tế/hiệu quả kinh tế - xã hội, chi phí vòng đời và tác động ngân sách để hỗ trợ quyết định đầu tư, đặt hàng và nhân rộng.</w:t>
      </w:r>
    </w:p>
    <w:p>
      <w:pPr>
        <w:pStyle w:val="Heading1"/>
      </w:pPr>
      <w:r>
        <w:t>X. VAI TRÒ ĐỀ XUẤT CỦA TRUNG TÂM</w:t>
      </w:r>
    </w:p>
    <w:p>
      <w:pPr>
        <w:pStyle w:val="BodyJ"/>
      </w:pPr>
      <w:r>
        <w:t>Trong giai đoạn hiện nay, Trung tâm xác định vai trò trước hết là đầu mối tiếp nhận và tổng hợp theo phân công của Sở Y tế; không thay thế đơn vị chuyên môn, chủ nhiệm nhiệm vụ, Hội đồng khoa học hoặc cơ quan có thẩm quyền lựa chọn nhiệm vụ.</w:t>
      </w:r>
    </w:p>
    <w:p>
      <w:pPr>
        <w:pStyle w:val="BodyJ"/>
      </w:pPr>
      <w:r>
        <w:t>Trên cơ sở chức năng đào tạo và chuyển giao công nghệ, Trung tâm đề xuất tham gia theo chuỗi: tổng hợp bài toán → kết nối đơn vị/công nghệ → hỗ trợ thử nghiệm → chuẩn hóa → đào tạo → chuyển giao → đánh giá khả năng nhân rộng, khi được Sở Y tế và cơ quan quản lý giao nhiệm vụ.</w:t>
      </w:r>
    </w:p>
    <w:p>
      <w:pPr>
        <w:pStyle w:val="BodyJ"/>
      </w:pPr>
      <w:r>
        <w:t>Đối với nhiệm vụ liên viện/toàn ngành, Trung tâm có thể làm đầu mối hỗ trợ phần dữ liệu, đào tạo, chuyển giao, đánh giá triển khai thực tế và tổng hợp kết quả nhân rộng; việc này không làm thay vai trò chủ trì khoa học của các bệnh viện, trường/viện và doanh nghiệp.</w:t>
      </w:r>
    </w:p>
    <w:p>
      <w:pPr>
        <w:sectPr>
          <w:footerReference w:type="default" r:id="rId11"/>
          <w:pgSz w:w="15840" w:h="12240"/>
          <w:pgMar w:top="1134" w:right="1134" w:bottom="1134" w:left="1417" w:header="720" w:footer="720" w:gutter="0"/>
          <w:cols w:space="720"/>
          <w:docGrid w:linePitch="360"/>
        </w:sectPr>
      </w:pPr>
    </w:p>
    <w:p>
      <w:pPr>
        <w:pStyle w:val="Heading1"/>
      </w:pPr>
      <w:r>
        <w:t>XI. BẢNG XIN Ý KIẾN/XÁC NHẬN PHÂN NHÓM</w:t>
      </w:r>
    </w:p>
    <w:p>
      <w:pPr>
        <w:pStyle w:val="Small"/>
      </w:pPr>
      <w:r>
        <w:rPr>
          <w:b/>
        </w:rPr>
        <w:t xml:space="preserve">Hướng dẫn: </w:t>
      </w:r>
      <w:r>
        <w:t>Đơn vị chỉ rà soát các nhiệm vụ do mình đề xuất. Nếu thống nhất đánh dấu “Đồng ý”; nếu cần điều chỉnh ghi ngắn gọn nhóm/phạm vi/người sử dụng/hiệu quả cần sửa. Không yêu cầu lập lại thuyết minh tại bước này.</w:t>
      </w:r>
    </w:p>
    <w:tbl>
      <w:tblPr>
        <w:tblStyle w:val="TableGrid"/>
        <w:tblW w:type="auto" w:w="0"/>
        <w:jc w:val="center"/>
        <w:tblLook w:firstColumn="1" w:firstRow="1" w:lastColumn="0" w:lastRow="0" w:noHBand="0" w:noVBand="1" w:val="04A0"/>
      </w:tblPr>
      <w:tblGrid>
        <w:gridCol w:w="1587"/>
        <w:gridCol w:w="1587"/>
        <w:gridCol w:w="1587"/>
        <w:gridCol w:w="1587"/>
        <w:gridCol w:w="1587"/>
        <w:gridCol w:w="1587"/>
        <w:gridCol w:w="1587"/>
      </w:tblGrid>
      <w:tr>
        <w:trPr>
          <w:tblHeader w:val="true"/>
        </w:trPr>
        <w:tc>
          <w:tcPr>
            <w:tcW w:type="dxa" w:w="454"/>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TT</w:t>
            </w:r>
          </w:p>
        </w:tc>
        <w:tc>
          <w:tcPr>
            <w:tcW w:type="dxa" w:w="2665"/>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Cơ quan/đơn vị</w:t>
            </w:r>
          </w:p>
        </w:tc>
        <w:tc>
          <w:tcPr>
            <w:tcW w:type="dxa" w:w="680"/>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STT đề xuất</w:t>
            </w:r>
          </w:p>
        </w:tc>
        <w:tc>
          <w:tcPr>
            <w:tcW w:type="dxa" w:w="5386"/>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Tên nhiệm vụ</w:t>
            </w:r>
          </w:p>
        </w:tc>
        <w:tc>
          <w:tcPr>
            <w:tcW w:type="dxa" w:w="3572"/>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Phân nhóm bước đầu</w:t>
            </w:r>
          </w:p>
        </w:tc>
        <w:tc>
          <w:tcPr>
            <w:tcW w:type="dxa" w:w="737"/>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Đồng ý</w:t>
            </w:r>
          </w:p>
        </w:tc>
        <w:tc>
          <w:tcPr>
            <w:tcW w:type="dxa" w:w="3402"/>
            <w:vAlign w:val="center"/>
            <w:tcMar>
              <w:top w:w="45" w:type="dxa"/>
              <w:start w:w="45" w:type="dxa"/>
              <w:bottom w:w="45" w:type="dxa"/>
              <w:end w:w="45" w:type="dxa"/>
            </w:tcMar>
            <w:shd w:fill="D9EAF7"/>
          </w:tcPr>
          <w:p>
            <w:pPr>
              <w:spacing w:after="0" w:line="240" w:lineRule="auto"/>
              <w:jc w:val="center"/>
            </w:pPr>
            <w:r/>
            <w:r>
              <w:rPr>
                <w:rFonts w:ascii="Times New Roman" w:hAnsi="Times New Roman" w:eastAsia="Times New Roman"/>
                <w:b/>
                <w:sz w:val="16"/>
              </w:rPr>
              <w:t>Đề nghị điều chỉnh / Ý kiến khác</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Giải pháp huy động, điều phối và quản lý nguồn lực khám sức khỏe toàn dân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QT + QL + CN;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MEDCAP - Hộ chiếu năng lực số ngành Y tế Hà Nội: Giải pháp quản trị vòng đời năng lực và cải cách toàn trình công tác đào tạo, bồi dưỡng, phát triển nhân lực y tế</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QT + QL + CN;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Trung tâm Đào tạo và Chuyển giao công nghệ Y tế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MedSurvey - Hệ thống Khảo sát Thông minh ngành Y tế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QT + CN + QL;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Y học cổ truyền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học máy dự đoán phân tầng đáp ứng điều trị người bệnh bàng quang tăng hoạt bằng điện châm</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CM + CN; HN → MR; người sử dụng: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Đánh giá hiệu quả can thiệp trước sinh thoát vị cơ hoành bẩm sinh bằng kỹ thuật làm tắc khí quản qua nội soi thai nhi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CM; BV → HN/MR; người sử dụng: CM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và đánh giá mô hình dự đoán sớm các bệnh lý sản khoa tiền sản giật, sinh non và đái tháo đường thai kỳ ở thai phụ thực hiện NIPT</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L4; CM + CN; BV → MR; người sử dụng: CM, DN xét nghiệm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kỹ thuật khâu vòng cổ tử cung dự phòng và điều trị đẻ non</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CM; BV → HN; người sử dụng: CM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mô hình tiên đoán tiền sản giật dựa trên Doppler động mạch mắt và các chỉ số sinh học phụ nữ Việt Nam</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L7; CM; BV → MR; người sử dụng: CM, DN thiết bị/xét nghiệm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Đầu tư hệ thống máy HIFU tại Bệnh viện Phụ sản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L3; CN + CM; BV;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Phụ sản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Nâng cấp hệ thống hạ tầng công nghệ thông tin của Bệnh viện Phụ sản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CN + QL; BV;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Thanh Nhàn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công nghệ giải trình tự gen thế hệ mới phát hiện đột biến trên 120 gen và đánh giá mối liên quan với hiệu quả điều trị ở bệnh nhân ung thư phổi không tế bào nhỏ tại các bệnh viện trên địa bàn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L4 + L1; CM + CN; HN → MR; người sử dụng: CM, DN biotech</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kỹ thuật Real-time PCR phát hiện alen HLA-B*58:01 và xây dựng mô hình học máy trong cá thể hóa điều trị bệnh Gout tại bệnh viện trên địa bàn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L1; CM + CN; HN → MR; người sử dụng: CM, DN xét nghiệm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kỹ thuật lai phân tử phát hiện đa hình gen CYP2C19 trong cá thể hóa liệu pháp kháng tiểu cầu tại bệnh viện trên địa bàn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L4; CM; HN → MR; người sử dụng: CM, DN xét nghiệm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phát triển và ứng dụng trí tuệ nhân tạo nhằm giám sát tích cực phản ứng có hại thuốc dựa trên một số xét nghiệm cận lâm sàng tại các bệnh viện thuộc Sở Y tế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QL + CN;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đặc điểm và phân tích dữ liệu vi khuẩn đa kháng và dịch tễ học gen của một số chủng kháng carbapenem tại các bệnh viện thuộc Sở Y tế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L4; QL + CM;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Xanh Pôn</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mô hình tiên lượng và quy trình phân tầng nguy cơ xơ vữa động mạch cảnh tiền lâm sàng bằng siêu âm Doppler trong khám sức khỏe: nghiên cứu triển khai tại Bệnh viện Đa khoa Xanh Pôn, định hướng mở rộng trong ngành Y tế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CM; BV → HN; người sử dụng: QL, CM</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đặc điểm gen kháng thuốc và hiệu quả mô hình quản lý sử dụng kháng sinh (AMS) tối ưu hóa trong điều trị nhiễm khuẩn hô hấp nặng tại Bệnh viện Đa khoa Đức Giang và hệ thống bệnh viện đa khoa thành phố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L1 + L4; QL + CM + CN;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hiệu quả điều trị vết thương bằng phương pháp tế bào gốc và exosome tại Bệnh viện Đa khoa Đức Giang</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L7 + L4; CM + CN; BV → HN/MR; người sử dụng: CM, DN biotech</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công nghệ radar trong giám sát không tiếp xúc các dấu hiệu sinh tồn (nhịp tim, nhịp thở, thân nhiệt, SpO2) và cảnh báo an toàn người bệnh tại Bệnh viện Đa khoa Đức Giang</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L3 + L4 + L1; CN; BV → HN;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xây dựng quy trình ứng dụng thiết bị bay không người lái (UAV) vận chuyển máy sốc điện tự động trong cấp cứu ngừng tuần hoàn tại Bệnh viện Đa khoa Đức Giang</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L3 + L4; CN + QL; Khu vực → HN/MR;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6</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Đức Giang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5</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ứng dụng thiết bị bay không người lái (UAV) vận chuyển mẫu bệnh phẩm hỗ trợ khám chữa bệnh liên viện, Trạm Y tế tại Bệnh viện Đa khoa Đức Giang</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L3 + L4; CN + QL; Mạng BV-TYT → HN;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7</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Đa khoa Hà Đông</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kết hợp mô hình vật lý và xử lý biên (edge AI) nhằm nâng cao chất lượng ảnh hệ thống camera quang học phục vụ quan sát mẫu tại các Bệnh viện Hà Nội</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L1 + L4 + L3; CN + CM; HN → MR; người sử dụng: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8</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Đại học Y Hà Nội</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Nghiên cứu giá trị của siêu âm định lượng và cộng hưởng từ định lượng trong phân độ gan nhiễm mỡ và xơ hoá gan</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CM; HN → MR; người sử dụng: CM, DN thiết bị</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1</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hệ thống trí tuệ nhân tạo hỗ trợ sàng lọc, phân tầng nguy cơ và điều hướng chăm sóc các bệnh chuyển hóa phổ biến</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CN + CM;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2</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Xây dựng nền tảng tầm soát và phân tầng nguy cơ các bệnh lão khoa, suy giảm nhận thức và thoái hóa thần kinh dựa trên trí tuệ nhân tạo</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CN + CM;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3</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Ứng dụng trí tuệ nhân tạo và giải phẫu bệnh số trong chẩn đoán và hội chẩn từ xa</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CN + CM; HN → MR; người sử dụng: QL,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r>
        <w:trPr>
          <w:cantSplit/>
        </w:trPr>
        <w:tc>
          <w:tcPr>
            <w:tcW w:type="dxa" w:w="454"/>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9</w:t>
            </w:r>
          </w:p>
        </w:tc>
        <w:tc>
          <w:tcPr>
            <w:tcW w:type="dxa" w:w="2665"/>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Bệnh viện Trường Đại học Phenikaa</w:t>
            </w:r>
          </w:p>
        </w:tc>
        <w:tc>
          <w:tcPr>
            <w:tcW w:type="dxa" w:w="680"/>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4</w:t>
            </w:r>
          </w:p>
        </w:tc>
        <w:tc>
          <w:tcPr>
            <w:tcW w:type="dxa" w:w="5386"/>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Phát triển mô hình trí tuệ nhân tạo đa phương thức hỗ trợ dự báo đáp ứng điều trị và cá thể hóa điều trị ung thư</w:t>
            </w:r>
          </w:p>
        </w:tc>
        <w:tc>
          <w:tcPr>
            <w:tcW w:type="dxa" w:w="357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L4 + L1 + L7; CN + CM; HN → MR; người sử dụng: CM, DN</w:t>
            </w:r>
          </w:p>
        </w:tc>
        <w:tc>
          <w:tcPr>
            <w:tcW w:type="dxa" w:w="737"/>
            <w:vAlign w:val="center"/>
            <w:tcMar>
              <w:top w:w="45" w:type="dxa"/>
              <w:start w:w="45" w:type="dxa"/>
              <w:bottom w:w="45" w:type="dxa"/>
              <w:end w:w="45" w:type="dxa"/>
            </w:tcMar>
          </w:tcPr>
          <w:p>
            <w:pPr>
              <w:spacing w:after="0" w:line="240" w:lineRule="auto"/>
              <w:jc w:val="center"/>
            </w:pPr>
            <w:r/>
            <w:r>
              <w:rPr>
                <w:rFonts w:ascii="Times New Roman" w:hAnsi="Times New Roman" w:eastAsia="Times New Roman"/>
                <w:b w:val="0"/>
                <w:sz w:val="15"/>
              </w:rPr>
              <w:t>☐</w:t>
            </w:r>
          </w:p>
        </w:tc>
        <w:tc>
          <w:tcPr>
            <w:tcW w:type="dxa" w:w="3402"/>
            <w:vAlign w:val="center"/>
            <w:tcMar>
              <w:top w:w="45" w:type="dxa"/>
              <w:start w:w="45" w:type="dxa"/>
              <w:bottom w:w="45" w:type="dxa"/>
              <w:end w:w="45" w:type="dxa"/>
            </w:tcMar>
          </w:tcPr>
          <w:p>
            <w:pPr>
              <w:spacing w:after="0" w:line="240" w:lineRule="auto"/>
              <w:jc w:val="left"/>
            </w:pPr>
            <w:r/>
            <w:r>
              <w:rPr>
                <w:rFonts w:ascii="Times New Roman" w:hAnsi="Times New Roman" w:eastAsia="Times New Roman"/>
                <w:b w:val="0"/>
                <w:sz w:val="15"/>
              </w:rPr>
              <w:t>☐ Điều chỉnh: __________________________</w:t>
              <w:br/>
              <w:t>☐ Ý kiến khác: ________________________</w:t>
            </w:r>
          </w:p>
        </w:tc>
      </w:tr>
    </w:tbl>
    <w:p>
      <w:pPr>
        <w:sectPr>
          <w:footerReference w:type="default" r:id="rId12"/>
          <w:pgSz w:w="12240" w:h="15840" w:orient="landscape"/>
          <w:pgMar w:top="737" w:right="567" w:bottom="737" w:left="567" w:header="720" w:footer="720" w:gutter="0"/>
          <w:cols w:space="720"/>
          <w:docGrid w:linePitch="360"/>
        </w:sectPr>
      </w:pPr>
    </w:p>
    <w:p>
      <w:pPr>
        <w:pStyle w:val="Heading1"/>
      </w:pPr>
      <w:r>
        <w:t>XII. BƯỚC TIẾP THEO</w:t>
      </w:r>
    </w:p>
    <w:p>
      <w:pPr>
        <w:pStyle w:val="BodyJ"/>
        <w:ind w:left="454" w:hanging="454"/>
      </w:pPr>
      <w:r>
        <w:rPr>
          <w:b/>
        </w:rPr>
        <w:t xml:space="preserve">1. </w:t>
      </w:r>
      <w:r>
        <w:t>Gửi bản tổng hợp và bảng phân nhóm để các đơn vị rà soát, xác nhận hoặc đề nghị điều chỉnh.</w:t>
      </w:r>
    </w:p>
    <w:p>
      <w:pPr>
        <w:pStyle w:val="BodyJ"/>
        <w:ind w:left="454" w:hanging="454"/>
      </w:pPr>
      <w:r>
        <w:rPr>
          <w:b/>
        </w:rPr>
        <w:t xml:space="preserve">2. </w:t>
      </w:r>
      <w:r>
        <w:t>Hoàn thiện danh mục 27 đề xuất; đồng thời giữ nguyên hồ sơ gốc của từng đơn vị làm nguồn tham chiếu.</w:t>
      </w:r>
    </w:p>
    <w:p>
      <w:pPr>
        <w:pStyle w:val="BodyJ"/>
        <w:ind w:left="454" w:hanging="454"/>
      </w:pPr>
      <w:r>
        <w:rPr>
          <w:b/>
        </w:rPr>
        <w:t xml:space="preserve">3. </w:t>
      </w:r>
      <w:r>
        <w:t>Xây dựng “Bản đồ bài toán KHCN&amp;ĐMST ngành Y tế Hà Nội”, nhận diện các cụm nhiệm vụ có thể dùng chung dữ liệu/hạ tầng hoặc triển khai đa trung tâm.</w:t>
      </w:r>
    </w:p>
    <w:p>
      <w:pPr>
        <w:pStyle w:val="BodyJ"/>
        <w:ind w:left="454" w:hanging="454"/>
      </w:pPr>
      <w:r>
        <w:rPr>
          <w:b/>
        </w:rPr>
        <w:t xml:space="preserve">4. </w:t>
      </w:r>
      <w:r>
        <w:t>Tổng hợp các nhu cầu về cơ chế, dữ liệu, hạ tầng, thử nghiệm, doanh nghiệp, chuyển giao và đánh giá kinh tế để trao đổi với Sở Khoa học và Công nghệ.</w:t>
      </w:r>
    </w:p>
    <w:p>
      <w:pPr>
        <w:pStyle w:val="BodyJ"/>
        <w:ind w:left="454" w:hanging="454"/>
      </w:pPr>
      <w:r>
        <w:rPr>
          <w:b/>
        </w:rPr>
        <w:t xml:space="preserve">5. </w:t>
      </w:r>
      <w:r>
        <w:t>Tổ chức kho tài liệu và danh mục điện tử tại khcn.hanoimedtech.vn để các đơn vị cùng theo dõi, góp ý và tiếp tục cập nhật.</w:t>
      </w:r>
    </w:p>
    <w:p>
      <w:pPr>
        <w:pStyle w:val="BodyJ"/>
      </w:pPr>
      <w:r>
        <w:t>Trung tâm trân trọng đề nghị các đơn vị nghiên cứu, rà soát và phản hồi để bản tổng hợp phản ánh đúng nhu cầu thực tiễn, giá trị khoa học, khả năng ứng dụng và tiềm năng chuyển giao của từng nhiệm vụ.</w:t>
      </w:r>
    </w:p>
    <w:sectPr w:rsidR="00FC693F" w:rsidRPr="0006063C" w:rsidSect="00034616">
      <w:footerReference w:type="default" r:id="rId13"/>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LẤY Ý KIẾN CÁC ĐƠN VỊ</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LẤY Ý KIẾN CÁC ĐƠN VỊ</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LẤY Ý KIẾN CÁC ĐƠN VỊ</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LẤY Ý KIẾN CÁC ĐƠN VỊ</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DỰ THẢO - PHỤC VỤ LẤY Ý KIẾN CÁC ĐƠN VỊ</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1F4E79"/>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F4E79"/>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J">
    <w:name w:val="BodyJ"/>
    <w:pPr>
      <w:spacing w:line="276" w:lineRule="auto" w:after="80"/>
      <w:jc w:val="both"/>
    </w:pPr>
    <w:rPr>
      <w:rFonts w:ascii="Times New Roman" w:hAnsi="Times New Roman" w:eastAsia="Times New Roman"/>
      <w:sz w:val="28"/>
    </w:rPr>
  </w:style>
  <w:style w:type="paragraph" w:customStyle="1" w:styleId="Small">
    <w:name w:val="Small"/>
    <w:pPr>
      <w:spacing w:after="40"/>
    </w:pPr>
    <w:rPr>
      <w:rFonts w:ascii="Times New Roman" w:hAnsi="Times New Roman" w:eastAsia="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